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8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8732"/>
      </w:tblGrid>
      <w:tr w:rsidR="00810CAB" w:rsidRPr="000908C3" w:rsidTr="000B40D2">
        <w:trPr>
          <w:trHeight w:val="1134"/>
        </w:trPr>
        <w:tc>
          <w:tcPr>
            <w:tcW w:w="9866" w:type="dxa"/>
            <w:gridSpan w:val="2"/>
          </w:tcPr>
          <w:p w:rsidR="002F5FA7" w:rsidRPr="00160A8A" w:rsidRDefault="0095057B" w:rsidP="002C794A">
            <w:pPr>
              <w:pStyle w:val="berschrift1"/>
              <w:outlineLvl w:val="0"/>
              <w:rPr>
                <w:lang w:val="en-US"/>
              </w:rPr>
            </w:pPr>
            <w:bookmarkStart w:id="0" w:name="_Hlk25926166"/>
            <w:r>
              <w:rPr>
                <w:lang w:val="en-US"/>
              </w:rPr>
              <w:t xml:space="preserve">NIRS </w:t>
            </w:r>
            <w:r w:rsidR="00C27ABE">
              <w:rPr>
                <w:lang w:val="en-US"/>
              </w:rPr>
              <w:t xml:space="preserve">DS2500 </w:t>
            </w:r>
            <w:r w:rsidR="002C794A">
              <w:rPr>
                <w:lang w:val="en-US"/>
              </w:rPr>
              <w:t>Polyol</w:t>
            </w:r>
            <w:r w:rsidR="00C27ABE">
              <w:rPr>
                <w:lang w:val="en-US"/>
              </w:rPr>
              <w:t xml:space="preserve"> A</w:t>
            </w:r>
            <w:r w:rsidR="009874E9">
              <w:rPr>
                <w:lang w:val="en-US"/>
              </w:rPr>
              <w:t>nal</w:t>
            </w:r>
            <w:r w:rsidR="00C27ABE">
              <w:rPr>
                <w:lang w:val="en-US"/>
              </w:rPr>
              <w:t>yzer</w:t>
            </w:r>
          </w:p>
        </w:tc>
      </w:tr>
      <w:tr w:rsidR="00287C4C" w:rsidRPr="00814DA9" w:rsidTr="00287C4C">
        <w:trPr>
          <w:trHeight w:val="170"/>
        </w:trPr>
        <w:tc>
          <w:tcPr>
            <w:tcW w:w="9866" w:type="dxa"/>
            <w:gridSpan w:val="2"/>
          </w:tcPr>
          <w:p w:rsidR="00287C4C" w:rsidRPr="00C27ABE" w:rsidRDefault="00903A9F" w:rsidP="002C794A">
            <w:pPr>
              <w:pStyle w:val="berschrift2"/>
              <w:outlineLvl w:val="1"/>
              <w:rPr>
                <w:lang w:val="en"/>
              </w:rPr>
            </w:pPr>
            <w:r>
              <w:rPr>
                <w:lang w:val="en"/>
              </w:rPr>
              <w:t>Near-infrared s</w:t>
            </w:r>
            <w:r w:rsidR="00C27ABE">
              <w:rPr>
                <w:lang w:val="en"/>
              </w:rPr>
              <w:t>pectrometer</w:t>
            </w:r>
            <w:r w:rsidR="00C27ABE" w:rsidRPr="00025BDC">
              <w:rPr>
                <w:lang w:val="en"/>
              </w:rPr>
              <w:t xml:space="preserve"> for fast, simple and robust routine analysis of </w:t>
            </w:r>
            <w:r w:rsidR="002C794A">
              <w:rPr>
                <w:lang w:val="en"/>
              </w:rPr>
              <w:t>polyols</w:t>
            </w:r>
            <w:r w:rsidR="00C27ABE" w:rsidRPr="00025BDC">
              <w:rPr>
                <w:lang w:val="en"/>
              </w:rPr>
              <w:t xml:space="preserve"> </w:t>
            </w:r>
          </w:p>
        </w:tc>
      </w:tr>
      <w:tr w:rsidR="00810CAB" w:rsidRPr="00814DA9" w:rsidTr="00C21696">
        <w:trPr>
          <w:trHeight w:hRule="exact" w:val="454"/>
        </w:trPr>
        <w:tc>
          <w:tcPr>
            <w:tcW w:w="1134" w:type="dxa"/>
            <w:tcBorders>
              <w:top w:val="single" w:sz="18" w:space="0" w:color="008F8B" w:themeColor="accent1"/>
            </w:tcBorders>
          </w:tcPr>
          <w:p w:rsidR="00810CAB" w:rsidRPr="00160A8A" w:rsidRDefault="00810CAB">
            <w:pPr>
              <w:spacing w:line="240" w:lineRule="auto"/>
              <w:rPr>
                <w:lang w:val="en-US"/>
              </w:rPr>
            </w:pPr>
          </w:p>
        </w:tc>
        <w:tc>
          <w:tcPr>
            <w:tcW w:w="8732" w:type="dxa"/>
          </w:tcPr>
          <w:p w:rsidR="00810CAB" w:rsidRPr="00160A8A" w:rsidRDefault="00810CAB">
            <w:pPr>
              <w:rPr>
                <w:lang w:val="en-US"/>
              </w:rPr>
            </w:pPr>
          </w:p>
        </w:tc>
      </w:tr>
    </w:tbl>
    <w:p w:rsidR="00337EC5" w:rsidRDefault="00113641" w:rsidP="00C27ABE">
      <w:pPr>
        <w:pStyle w:val="METHervorhebung"/>
        <w:rPr>
          <w:lang w:val="en"/>
        </w:rPr>
      </w:pPr>
      <w:bookmarkStart w:id="1" w:name="_Hlk25926789"/>
      <w:bookmarkEnd w:id="0"/>
      <w:r>
        <w:rPr>
          <w:lang w:val="en-US"/>
        </w:rPr>
        <w:t>Herisau</w:t>
      </w:r>
      <w:r w:rsidR="002F5FA7" w:rsidRPr="00160A8A">
        <w:rPr>
          <w:lang w:val="en-US"/>
        </w:rPr>
        <w:t xml:space="preserve">, </w:t>
      </w:r>
      <w:r w:rsidR="002C794A">
        <w:rPr>
          <w:lang w:val="en-US"/>
        </w:rPr>
        <w:t>July 20</w:t>
      </w:r>
      <w:r w:rsidR="005951BB">
        <w:rPr>
          <w:lang w:val="en-US"/>
        </w:rPr>
        <w:t>,</w:t>
      </w:r>
      <w:r w:rsidR="002F5FA7" w:rsidRPr="00160A8A">
        <w:rPr>
          <w:lang w:val="en-US"/>
        </w:rPr>
        <w:t xml:space="preserve"> </w:t>
      </w:r>
      <w:r>
        <w:rPr>
          <w:lang w:val="en-US"/>
        </w:rPr>
        <w:t>2020</w:t>
      </w:r>
      <w:r w:rsidR="002F5FA7" w:rsidRPr="00160A8A">
        <w:rPr>
          <w:lang w:val="en-US"/>
        </w:rPr>
        <w:t>.</w:t>
      </w:r>
      <w:r w:rsidR="002F5FA7">
        <w:rPr>
          <w:lang w:val="en-US"/>
        </w:rPr>
        <w:br/>
      </w:r>
      <w:r w:rsidR="00C27ABE" w:rsidRPr="00025BDC">
        <w:rPr>
          <w:lang w:val="en"/>
        </w:rPr>
        <w:t xml:space="preserve">No sample preparation required, perfect ease of use, results for multiple parameters available </w:t>
      </w:r>
      <w:r w:rsidR="00117AF8">
        <w:rPr>
          <w:lang w:val="en"/>
        </w:rPr>
        <w:t xml:space="preserve">in less than a minute </w:t>
      </w:r>
      <w:r w:rsidR="00C27ABE" w:rsidRPr="00025BDC">
        <w:rPr>
          <w:lang w:val="en"/>
        </w:rPr>
        <w:t>– these are the main advantages of near-infrared spectroscopy for routine analysis</w:t>
      </w:r>
      <w:r w:rsidR="008C0655">
        <w:rPr>
          <w:lang w:val="en"/>
        </w:rPr>
        <w:t xml:space="preserve">. </w:t>
      </w:r>
      <w:r w:rsidR="00C27ABE" w:rsidRPr="00025BDC">
        <w:rPr>
          <w:lang w:val="en"/>
        </w:rPr>
        <w:t xml:space="preserve">QC managers and shift personal from the </w:t>
      </w:r>
      <w:r w:rsidR="002C794A">
        <w:rPr>
          <w:lang w:val="en"/>
        </w:rPr>
        <w:t>polymer</w:t>
      </w:r>
      <w:r w:rsidR="004E1DB6">
        <w:rPr>
          <w:lang w:val="en"/>
        </w:rPr>
        <w:t xml:space="preserve"> industry</w:t>
      </w:r>
      <w:r w:rsidR="00C27ABE" w:rsidRPr="00025BDC">
        <w:rPr>
          <w:lang w:val="en"/>
        </w:rPr>
        <w:t xml:space="preserve"> can now benefit from these advantages with the new DS2500 </w:t>
      </w:r>
      <w:r w:rsidR="002C794A">
        <w:rPr>
          <w:lang w:val="en"/>
        </w:rPr>
        <w:t>Polyol</w:t>
      </w:r>
      <w:r w:rsidR="00C27ABE" w:rsidRPr="00025BDC">
        <w:rPr>
          <w:lang w:val="en"/>
        </w:rPr>
        <w:t xml:space="preserve"> Analyzer from Metrohm.</w:t>
      </w:r>
      <w:r w:rsidR="004E1DB6">
        <w:rPr>
          <w:lang w:val="en"/>
        </w:rPr>
        <w:t xml:space="preserve"> </w:t>
      </w:r>
      <w:r w:rsidR="008C0655">
        <w:rPr>
          <w:lang w:val="en"/>
        </w:rPr>
        <w:t xml:space="preserve">The DS2500 </w:t>
      </w:r>
      <w:r w:rsidR="002C794A">
        <w:rPr>
          <w:lang w:val="en"/>
        </w:rPr>
        <w:t>Polyol</w:t>
      </w:r>
      <w:r w:rsidR="008C0655">
        <w:rPr>
          <w:lang w:val="en"/>
        </w:rPr>
        <w:t xml:space="preserve"> Analyzer </w:t>
      </w:r>
      <w:r w:rsidR="00692E8A">
        <w:rPr>
          <w:lang w:val="en"/>
        </w:rPr>
        <w:t xml:space="preserve">is pre-calibrated for </w:t>
      </w:r>
      <w:r w:rsidR="002C794A">
        <w:rPr>
          <w:lang w:val="en"/>
        </w:rPr>
        <w:t>the determination of the hydroxyl value according to AS</w:t>
      </w:r>
      <w:r w:rsidR="00814DA9">
        <w:rPr>
          <w:lang w:val="en"/>
        </w:rPr>
        <w:t>T</w:t>
      </w:r>
      <w:r w:rsidR="002C794A">
        <w:rPr>
          <w:lang w:val="en"/>
        </w:rPr>
        <w:t>M</w:t>
      </w:r>
      <w:bookmarkStart w:id="2" w:name="_GoBack"/>
      <w:bookmarkEnd w:id="2"/>
      <w:r w:rsidR="002C794A">
        <w:rPr>
          <w:lang w:val="en"/>
        </w:rPr>
        <w:t xml:space="preserve"> D6342-12 and ISO 15603:2011, which is </w:t>
      </w:r>
      <w:r w:rsidR="004E1DB6">
        <w:rPr>
          <w:lang w:val="en-US"/>
        </w:rPr>
        <w:t>faster,</w:t>
      </w:r>
      <w:r w:rsidR="008C0655">
        <w:rPr>
          <w:lang w:val="en-US"/>
        </w:rPr>
        <w:t xml:space="preserve"> easier and much less expensive compared with competing wet chemical </w:t>
      </w:r>
      <w:r w:rsidR="00692E8A">
        <w:rPr>
          <w:lang w:val="en-US"/>
        </w:rPr>
        <w:t>systems</w:t>
      </w:r>
      <w:r w:rsidR="008C0655">
        <w:rPr>
          <w:lang w:val="en-US"/>
        </w:rPr>
        <w:t>.</w:t>
      </w:r>
    </w:p>
    <w:p w:rsidR="00C27ABE" w:rsidRPr="00C27ABE" w:rsidRDefault="00C27ABE" w:rsidP="00C27ABE">
      <w:pPr>
        <w:pStyle w:val="METHervorhebung"/>
        <w:rPr>
          <w:lang w:val="en"/>
        </w:rPr>
      </w:pPr>
    </w:p>
    <w:tbl>
      <w:tblPr>
        <w:tblStyle w:val="Tabellenraster"/>
        <w:tblW w:w="0" w:type="auto"/>
        <w:tblCellMar>
          <w:left w:w="0" w:type="dxa"/>
          <w:bottom w:w="57" w:type="dxa"/>
          <w:right w:w="227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 w:rsidR="006140C9" w:rsidRPr="00814DA9" w:rsidTr="00823309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bookmarkEnd w:id="1"/>
          <w:p w:rsidR="00C27ABE" w:rsidRPr="007F5038" w:rsidRDefault="00BD71C0" w:rsidP="00BD71C0">
            <w:pPr>
              <w:pStyle w:val="METTeaser"/>
              <w:rPr>
                <w:lang w:val="en-US"/>
              </w:rPr>
            </w:pPr>
            <w:r w:rsidRPr="007F5038">
              <w:rPr>
                <w:lang w:val="en-US"/>
              </w:rPr>
              <w:t>Easy to use</w:t>
            </w:r>
          </w:p>
          <w:p w:rsidR="00692E8A" w:rsidRPr="00407648" w:rsidRDefault="00692E8A" w:rsidP="00BD71C0">
            <w:pPr>
              <w:rPr>
                <w:rFonts w:ascii="NeueFrutigerWorld-Light" w:hAnsi="NeueFrutigerWorld-Light" w:cs="NeueFrutigerWorld-Light"/>
                <w:color w:val="4A4A49"/>
                <w:szCs w:val="20"/>
                <w:lang w:val="en-US"/>
              </w:rPr>
            </w:pPr>
            <w:r>
              <w:rPr>
                <w:lang w:val="en"/>
              </w:rPr>
              <w:t>Intuitive Vision Air Software makes the</w:t>
            </w:r>
            <w:r w:rsidRPr="00025BDC">
              <w:rPr>
                <w:lang w:val="en"/>
              </w:rPr>
              <w:t xml:space="preserve"> </w:t>
            </w:r>
            <w:r w:rsidR="00407648">
              <w:rPr>
                <w:lang w:val="en"/>
              </w:rPr>
              <w:t>NIRS DS</w:t>
            </w:r>
            <w:r w:rsidR="002C794A">
              <w:rPr>
                <w:lang w:val="en"/>
              </w:rPr>
              <w:t>2500 Polyol Analyzer</w:t>
            </w:r>
            <w:r w:rsidRPr="00692E8A">
              <w:rPr>
                <w:rFonts w:ascii="NeueFrutigerWorld-Light" w:hAnsi="NeueFrutigerWorld-Light" w:cs="NeueFrutigerWorld-Light"/>
                <w:color w:val="4A4A49"/>
                <w:szCs w:val="20"/>
                <w:lang w:val="en-US"/>
              </w:rPr>
              <w:t xml:space="preserve"> easy to use. </w:t>
            </w:r>
            <w:r w:rsidR="00570ACE" w:rsidRPr="00C82A07">
              <w:rPr>
                <w:lang w:val="en"/>
              </w:rPr>
              <w:t>Shift personal</w:t>
            </w:r>
            <w:r w:rsidRPr="00C82A07">
              <w:rPr>
                <w:lang w:val="en"/>
              </w:rPr>
              <w:t xml:space="preserve"> will find the routine user mode so </w:t>
            </w:r>
            <w:r w:rsidR="00570ACE" w:rsidRPr="00C82A07">
              <w:rPr>
                <w:lang w:val="en"/>
              </w:rPr>
              <w:t>simple that</w:t>
            </w:r>
            <w:r w:rsidRPr="00C82A07">
              <w:rPr>
                <w:lang w:val="en"/>
              </w:rPr>
              <w:t xml:space="preserve"> hardly any time for familiarization </w:t>
            </w:r>
            <w:proofErr w:type="gramStart"/>
            <w:r w:rsidRPr="00C82A07">
              <w:rPr>
                <w:lang w:val="en"/>
              </w:rPr>
              <w:t xml:space="preserve">is </w:t>
            </w:r>
            <w:r w:rsidR="00570ACE" w:rsidRPr="00C82A07">
              <w:rPr>
                <w:lang w:val="en"/>
              </w:rPr>
              <w:t>needed</w:t>
            </w:r>
            <w:proofErr w:type="gramEnd"/>
            <w:r w:rsidR="00570ACE" w:rsidRPr="00C82A07">
              <w:rPr>
                <w:lang w:val="en"/>
              </w:rPr>
              <w:t>: Two</w:t>
            </w:r>
            <w:r w:rsidRPr="00C82A07">
              <w:rPr>
                <w:lang w:val="en"/>
              </w:rPr>
              <w:t xml:space="preserve"> clicks from selecting the method, </w:t>
            </w:r>
            <w:r w:rsidR="00570ACE" w:rsidRPr="00C82A07">
              <w:rPr>
                <w:lang w:val="en"/>
              </w:rPr>
              <w:t>starting the</w:t>
            </w:r>
            <w:r w:rsidRPr="00C82A07">
              <w:rPr>
                <w:lang w:val="en"/>
              </w:rPr>
              <w:t xml:space="preserve"> measurement to getting a clear pass/fail </w:t>
            </w:r>
            <w:r w:rsidR="00570ACE" w:rsidRPr="00C82A07">
              <w:rPr>
                <w:lang w:val="en"/>
              </w:rPr>
              <w:t>results</w:t>
            </w:r>
            <w:r w:rsidRPr="00C82A07">
              <w:rPr>
                <w:lang w:val="en"/>
              </w:rPr>
              <w:t xml:space="preserve"> all it takes.</w:t>
            </w:r>
            <w:r w:rsidRPr="00025BDC">
              <w:rPr>
                <w:color w:val="231F20"/>
                <w:lang w:val="en"/>
              </w:rPr>
              <w:t xml:space="preserve"> </w:t>
            </w:r>
            <w:r>
              <w:rPr>
                <w:color w:val="231F20"/>
                <w:lang w:val="en"/>
              </w:rPr>
              <w:t xml:space="preserve"> </w:t>
            </w:r>
          </w:p>
          <w:p w:rsidR="00751077" w:rsidRPr="00C27ABE" w:rsidRDefault="00751077" w:rsidP="009053A1">
            <w:pPr>
              <w:rPr>
                <w:lang w:val="en"/>
              </w:rPr>
            </w:pPr>
          </w:p>
          <w:p w:rsidR="00C27ABE" w:rsidRPr="007F5038" w:rsidRDefault="00C27ABE" w:rsidP="00BD71C0">
            <w:pPr>
              <w:pStyle w:val="METTeaser"/>
              <w:rPr>
                <w:lang w:val="en-US"/>
              </w:rPr>
            </w:pPr>
            <w:r w:rsidRPr="007F5038">
              <w:rPr>
                <w:lang w:val="en-US"/>
              </w:rPr>
              <w:t>Robust design for operation in production environments</w:t>
            </w:r>
          </w:p>
          <w:p w:rsidR="00237709" w:rsidRDefault="00C27ABE" w:rsidP="00FD29E6">
            <w:pPr>
              <w:rPr>
                <w:lang w:val="en"/>
              </w:rPr>
            </w:pPr>
            <w:r w:rsidRPr="00025BDC">
              <w:rPr>
                <w:lang w:val="en"/>
              </w:rPr>
              <w:t xml:space="preserve">The </w:t>
            </w:r>
            <w:r w:rsidR="00FD29E6">
              <w:rPr>
                <w:lang w:val="en"/>
              </w:rPr>
              <w:t xml:space="preserve">NIRS </w:t>
            </w:r>
            <w:r w:rsidRPr="00025BDC">
              <w:rPr>
                <w:lang w:val="en"/>
              </w:rPr>
              <w:t xml:space="preserve">DS2500 </w:t>
            </w:r>
            <w:r w:rsidR="002C794A">
              <w:rPr>
                <w:lang w:val="en"/>
              </w:rPr>
              <w:t>Polyol</w:t>
            </w:r>
            <w:r w:rsidR="00B66004">
              <w:rPr>
                <w:lang w:val="en"/>
              </w:rPr>
              <w:t xml:space="preserve"> Analyzer </w:t>
            </w:r>
            <w:r w:rsidRPr="00025BDC">
              <w:rPr>
                <w:lang w:val="en"/>
              </w:rPr>
              <w:t xml:space="preserve">with its IP65 certified housing and only one rotating optical element </w:t>
            </w:r>
            <w:r w:rsidRPr="00025BDC">
              <w:rPr>
                <w:bCs/>
                <w:lang w:val="en"/>
              </w:rPr>
              <w:t>is a highly robust solution providing excellent protection against environmental influences</w:t>
            </w:r>
            <w:r w:rsidRPr="00025BDC">
              <w:rPr>
                <w:lang w:val="en"/>
              </w:rPr>
              <w:t xml:space="preserve"> even in high vibration environments. </w:t>
            </w:r>
          </w:p>
          <w:p w:rsidR="00117AF8" w:rsidRPr="00C27ABE" w:rsidRDefault="00117AF8" w:rsidP="00FD29E6">
            <w:pPr>
              <w:rPr>
                <w:lang w:val="en-US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tcMar>
              <w:left w:w="227" w:type="dxa"/>
              <w:right w:w="0" w:type="dxa"/>
            </w:tcMar>
          </w:tcPr>
          <w:p w:rsidR="006140C9" w:rsidRPr="00B7577B" w:rsidRDefault="00823309" w:rsidP="00407648">
            <w:pPr>
              <w:pStyle w:val="METBildunterschrift"/>
              <w:rPr>
                <w:lang w:val="en-US"/>
              </w:rPr>
            </w:pPr>
            <w:r w:rsidRPr="00F15FAD">
              <w:rPr>
                <w:noProof/>
                <w:lang w:val="de-CH" w:eastAsia="de-CH"/>
              </w:rPr>
              <w:drawing>
                <wp:anchor distT="0" distB="0" distL="114300" distR="114300" simplePos="0" relativeHeight="251659264" behindDoc="0" locked="0" layoutInCell="1" allowOverlap="1" wp14:anchorId="648E0358" wp14:editId="2204EB73">
                  <wp:simplePos x="0" y="0"/>
                  <wp:positionH relativeFrom="column">
                    <wp:posOffset>262255</wp:posOffset>
                  </wp:positionH>
                  <wp:positionV relativeFrom="paragraph">
                    <wp:posOffset>175895</wp:posOffset>
                  </wp:positionV>
                  <wp:extent cx="2476500" cy="1651000"/>
                  <wp:effectExtent l="0" t="0" r="0" b="6350"/>
                  <wp:wrapThrough wrapText="bothSides">
                    <wp:wrapPolygon edited="0">
                      <wp:start x="0" y="0"/>
                      <wp:lineTo x="0" y="21434"/>
                      <wp:lineTo x="21434" y="21434"/>
                      <wp:lineTo x="21434" y="0"/>
                      <wp:lineTo x="0" y="0"/>
                    </wp:wrapPolygon>
                  </wp:wrapThrough>
                  <wp:docPr id="6" name="Grafik 6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pele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65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1DB6" w:rsidRPr="004E1DB6">
              <w:rPr>
                <w:noProof/>
                <w:lang w:val="en-US" w:eastAsia="de-CH"/>
              </w:rPr>
              <w:t>With the</w:t>
            </w:r>
            <w:r w:rsidR="004E1DB6">
              <w:rPr>
                <w:lang w:val="en-US"/>
              </w:rPr>
              <w:t xml:space="preserve"> DS2500 </w:t>
            </w:r>
            <w:r w:rsidR="00407648">
              <w:rPr>
                <w:lang w:val="en-US"/>
              </w:rPr>
              <w:t>Polyol</w:t>
            </w:r>
            <w:r w:rsidR="004E1DB6">
              <w:rPr>
                <w:lang w:val="en-US"/>
              </w:rPr>
              <w:t xml:space="preserve"> Analyzer</w:t>
            </w:r>
            <w:r w:rsidR="002C794A">
              <w:rPr>
                <w:lang w:val="en-US"/>
              </w:rPr>
              <w:t xml:space="preserve">, </w:t>
            </w:r>
            <w:r w:rsidR="00407648">
              <w:rPr>
                <w:lang w:val="en-US"/>
              </w:rPr>
              <w:t xml:space="preserve">the </w:t>
            </w:r>
            <w:r w:rsidR="002C794A">
              <w:rPr>
                <w:lang w:val="en-US"/>
              </w:rPr>
              <w:t xml:space="preserve">hydroxyl value can be determined </w:t>
            </w:r>
            <w:r w:rsidR="00407648">
              <w:rPr>
                <w:lang w:val="en-US"/>
              </w:rPr>
              <w:t xml:space="preserve">in polyols </w:t>
            </w:r>
            <w:r w:rsidR="002C794A">
              <w:rPr>
                <w:lang w:val="en-US"/>
              </w:rPr>
              <w:t>in less than a minute</w:t>
            </w:r>
            <w:r w:rsidR="004E1DB6">
              <w:rPr>
                <w:lang w:val="en-US"/>
              </w:rPr>
              <w:t>.</w:t>
            </w:r>
          </w:p>
        </w:tc>
      </w:tr>
    </w:tbl>
    <w:p w:rsidR="00E668BE" w:rsidRPr="00E668BE" w:rsidRDefault="00FD29E6" w:rsidP="00E668BE">
      <w:pPr>
        <w:pStyle w:val="METTeaser"/>
        <w:rPr>
          <w:rFonts w:asciiTheme="majorHAnsi" w:hAnsiTheme="majorHAnsi" w:cstheme="majorHAnsi"/>
          <w:lang w:val="en"/>
        </w:rPr>
      </w:pPr>
      <w:r>
        <w:rPr>
          <w:rFonts w:asciiTheme="majorHAnsi" w:hAnsiTheme="majorHAnsi" w:cstheme="majorHAnsi"/>
          <w:lang w:val="en"/>
        </w:rPr>
        <w:t>Pre-calibrations and</w:t>
      </w:r>
      <w:r w:rsidR="00E668BE" w:rsidRPr="00E668BE">
        <w:rPr>
          <w:rFonts w:asciiTheme="majorHAnsi" w:hAnsiTheme="majorHAnsi" w:cstheme="majorHAnsi"/>
          <w:lang w:val="en"/>
        </w:rPr>
        <w:t xml:space="preserve"> </w:t>
      </w:r>
      <w:r w:rsidR="00A60784">
        <w:rPr>
          <w:rFonts w:asciiTheme="majorHAnsi" w:hAnsiTheme="majorHAnsi" w:cstheme="majorHAnsi"/>
          <w:lang w:val="en"/>
        </w:rPr>
        <w:t>smart sample holders</w:t>
      </w:r>
    </w:p>
    <w:p w:rsidR="00E668BE" w:rsidRPr="009874E9" w:rsidRDefault="00117AF8" w:rsidP="00117AF8">
      <w:pPr>
        <w:rPr>
          <w:color w:val="231F20"/>
          <w:w w:val="90"/>
          <w:lang w:val="en-US"/>
        </w:rPr>
      </w:pPr>
      <w:r w:rsidRPr="00C82A07">
        <w:rPr>
          <w:lang w:val="en"/>
        </w:rPr>
        <w:t xml:space="preserve">The NIRS DS2500 </w:t>
      </w:r>
      <w:r w:rsidR="002C794A" w:rsidRPr="00C82A07">
        <w:rPr>
          <w:lang w:val="en"/>
        </w:rPr>
        <w:t>Polyol</w:t>
      </w:r>
      <w:r w:rsidRPr="00C82A07">
        <w:rPr>
          <w:lang w:val="en"/>
        </w:rPr>
        <w:t xml:space="preserve"> Analyzer </w:t>
      </w:r>
      <w:proofErr w:type="gramStart"/>
      <w:r w:rsidRPr="00C82A07">
        <w:rPr>
          <w:lang w:val="en"/>
        </w:rPr>
        <w:t>is pre-calibrated</w:t>
      </w:r>
      <w:proofErr w:type="gramEnd"/>
      <w:r w:rsidRPr="00C82A07">
        <w:rPr>
          <w:lang w:val="en"/>
        </w:rPr>
        <w:t xml:space="preserve"> for </w:t>
      </w:r>
      <w:r w:rsidR="002C794A" w:rsidRPr="00C82A07">
        <w:rPr>
          <w:lang w:val="en"/>
        </w:rPr>
        <w:t>the determination of the hydroxyl value in polyols according to ASTM D6342-12 and ISO 15603:2011</w:t>
      </w:r>
      <w:r w:rsidRPr="00C82A07">
        <w:rPr>
          <w:lang w:val="en"/>
        </w:rPr>
        <w:t>. This means that users can start measuring immediately without prior model d</w:t>
      </w:r>
      <w:r w:rsidR="00A60784" w:rsidRPr="00C82A07">
        <w:rPr>
          <w:lang w:val="en"/>
        </w:rPr>
        <w:t>evelop</w:t>
      </w:r>
      <w:r w:rsidRPr="00C82A07">
        <w:rPr>
          <w:lang w:val="en"/>
        </w:rPr>
        <w:t xml:space="preserve">ment required. </w:t>
      </w:r>
      <w:r w:rsidR="00177B19">
        <w:rPr>
          <w:lang w:val="en"/>
        </w:rPr>
        <w:t>Smart</w:t>
      </w:r>
      <w:r w:rsidR="00177B19" w:rsidRPr="00025BDC">
        <w:rPr>
          <w:lang w:val="en"/>
        </w:rPr>
        <w:t xml:space="preserve"> sample holders in combination with SOPs help prevent errors in routine operation</w:t>
      </w:r>
      <w:r w:rsidR="00177B19">
        <w:rPr>
          <w:lang w:val="en"/>
        </w:rPr>
        <w:t xml:space="preserve"> as they makes sure the correct sample container </w:t>
      </w:r>
      <w:proofErr w:type="gramStart"/>
      <w:r w:rsidR="00177B19">
        <w:rPr>
          <w:lang w:val="en"/>
        </w:rPr>
        <w:t>is always used</w:t>
      </w:r>
      <w:proofErr w:type="gramEnd"/>
      <w:r w:rsidR="00177B19">
        <w:rPr>
          <w:lang w:val="en"/>
        </w:rPr>
        <w:t xml:space="preserve"> to measure the sample</w:t>
      </w:r>
      <w:r w:rsidR="00177B19" w:rsidRPr="00025BDC">
        <w:rPr>
          <w:lang w:val="en"/>
        </w:rPr>
        <w:t>.</w:t>
      </w:r>
    </w:p>
    <w:p w:rsidR="00E668BE" w:rsidRDefault="00E668BE" w:rsidP="000B40D2">
      <w:pPr>
        <w:rPr>
          <w:lang w:val="en-US"/>
        </w:rPr>
      </w:pPr>
    </w:p>
    <w:p w:rsidR="00F15FAD" w:rsidRPr="00060CFD" w:rsidRDefault="00F15FAD" w:rsidP="000B40D2">
      <w:pPr>
        <w:rPr>
          <w:lang w:val="en-US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1253"/>
        <w:gridCol w:w="7647"/>
      </w:tblGrid>
      <w:tr w:rsidR="000B40D2" w:rsidTr="00301817">
        <w:tc>
          <w:tcPr>
            <w:tcW w:w="1253" w:type="dxa"/>
          </w:tcPr>
          <w:p w:rsidR="000B40D2" w:rsidRPr="00EA1800" w:rsidRDefault="000B40D2" w:rsidP="00EA1800">
            <w:pPr>
              <w:pStyle w:val="METHervorhebung"/>
              <w:rPr>
                <w:rStyle w:val="Fett"/>
                <w:b/>
              </w:rPr>
            </w:pPr>
            <w:r w:rsidRPr="00EA1800">
              <w:rPr>
                <w:rStyle w:val="Fett"/>
                <w:b/>
              </w:rPr>
              <w:t xml:space="preserve">Weblink: </w:t>
            </w:r>
          </w:p>
        </w:tc>
        <w:tc>
          <w:tcPr>
            <w:tcW w:w="7647" w:type="dxa"/>
          </w:tcPr>
          <w:p w:rsidR="000B40D2" w:rsidRDefault="000B40D2" w:rsidP="00301817">
            <w:pPr>
              <w:rPr>
                <w:rStyle w:val="Fett"/>
              </w:rPr>
            </w:pPr>
            <w:r w:rsidRPr="003B501D">
              <w:rPr>
                <w:lang w:val="en-US"/>
              </w:rPr>
              <w:t>news.metrohm.com</w:t>
            </w:r>
          </w:p>
        </w:tc>
      </w:tr>
      <w:tr w:rsidR="000B40D2" w:rsidRPr="007257C3" w:rsidTr="00301817">
        <w:tc>
          <w:tcPr>
            <w:tcW w:w="1253" w:type="dxa"/>
          </w:tcPr>
          <w:p w:rsidR="000B40D2" w:rsidRPr="00EA1800" w:rsidRDefault="000B40D2" w:rsidP="00EA1800">
            <w:pPr>
              <w:pStyle w:val="METHervorhebung"/>
              <w:rPr>
                <w:rStyle w:val="Fett"/>
                <w:b/>
              </w:rPr>
            </w:pPr>
            <w:r w:rsidRPr="00EA1800">
              <w:rPr>
                <w:rStyle w:val="Fett"/>
                <w:b/>
              </w:rPr>
              <w:t>Keywords:</w:t>
            </w:r>
          </w:p>
        </w:tc>
        <w:tc>
          <w:tcPr>
            <w:tcW w:w="7647" w:type="dxa"/>
          </w:tcPr>
          <w:p w:rsidR="000B40D2" w:rsidRPr="003B501D" w:rsidRDefault="00A42CBA" w:rsidP="00301817">
            <w:pPr>
              <w:rPr>
                <w:lang w:val="en-US"/>
              </w:rPr>
            </w:pPr>
            <w:r>
              <w:rPr>
                <w:lang w:val="en-US"/>
              </w:rPr>
              <w:t>Spectroscopy</w:t>
            </w:r>
          </w:p>
        </w:tc>
      </w:tr>
      <w:tr w:rsidR="000B40D2" w:rsidRPr="00B66004" w:rsidTr="00301817">
        <w:tc>
          <w:tcPr>
            <w:tcW w:w="1253" w:type="dxa"/>
          </w:tcPr>
          <w:p w:rsidR="000B40D2" w:rsidRPr="00EA1800" w:rsidRDefault="000B40D2" w:rsidP="00EA1800">
            <w:pPr>
              <w:pStyle w:val="METHervorhebung"/>
              <w:rPr>
                <w:rStyle w:val="Fett"/>
                <w:b/>
              </w:rPr>
            </w:pPr>
            <w:proofErr w:type="spellStart"/>
            <w:r w:rsidRPr="00EA1800">
              <w:rPr>
                <w:rStyle w:val="Fett"/>
                <w:b/>
              </w:rPr>
              <w:t>Branches</w:t>
            </w:r>
            <w:proofErr w:type="spellEnd"/>
            <w:r w:rsidRPr="00EA1800">
              <w:rPr>
                <w:rStyle w:val="Fett"/>
                <w:b/>
              </w:rPr>
              <w:t>:</w:t>
            </w:r>
          </w:p>
        </w:tc>
        <w:tc>
          <w:tcPr>
            <w:tcW w:w="7647" w:type="dxa"/>
          </w:tcPr>
          <w:p w:rsidR="000B40D2" w:rsidRPr="003B501D" w:rsidRDefault="008C0655" w:rsidP="00B66004">
            <w:pPr>
              <w:rPr>
                <w:lang w:val="en-US"/>
              </w:rPr>
            </w:pPr>
            <w:r>
              <w:rPr>
                <w:lang w:val="en-GB"/>
              </w:rPr>
              <w:t>Petrochemical industry</w:t>
            </w:r>
            <w:r w:rsidR="00A42CBA">
              <w:rPr>
                <w:lang w:val="en-GB"/>
              </w:rPr>
              <w:t xml:space="preserve"> </w:t>
            </w:r>
          </w:p>
        </w:tc>
      </w:tr>
      <w:tr w:rsidR="000B40D2" w:rsidTr="00301817">
        <w:tc>
          <w:tcPr>
            <w:tcW w:w="1253" w:type="dxa"/>
          </w:tcPr>
          <w:p w:rsidR="000B40D2" w:rsidRPr="00EA1800" w:rsidRDefault="000B40D2" w:rsidP="00EA1800">
            <w:pPr>
              <w:pStyle w:val="METHervorhebung"/>
              <w:rPr>
                <w:rStyle w:val="Fett"/>
                <w:b/>
              </w:rPr>
            </w:pPr>
            <w:r w:rsidRPr="00EA1800">
              <w:rPr>
                <w:rStyle w:val="Fett"/>
                <w:b/>
              </w:rPr>
              <w:t>Image:</w:t>
            </w:r>
          </w:p>
        </w:tc>
        <w:tc>
          <w:tcPr>
            <w:tcW w:w="7647" w:type="dxa"/>
          </w:tcPr>
          <w:p w:rsidR="000B40D2" w:rsidRDefault="00800390" w:rsidP="00301817">
            <w:pPr>
              <w:rPr>
                <w:lang w:val="en-GB"/>
              </w:rPr>
            </w:pPr>
            <w:r>
              <w:rPr>
                <w:lang w:val="en-GB"/>
              </w:rPr>
              <w:t>5195</w:t>
            </w:r>
          </w:p>
        </w:tc>
      </w:tr>
    </w:tbl>
    <w:p w:rsidR="00045674" w:rsidRDefault="00045674" w:rsidP="00EA1800">
      <w:pPr>
        <w:pStyle w:val="METHervorhebung"/>
      </w:pPr>
    </w:p>
    <w:p w:rsidR="005A61D6" w:rsidRDefault="005A61D6" w:rsidP="00045674"/>
    <w:p w:rsidR="005A61D6" w:rsidRDefault="005A61D6" w:rsidP="00045674"/>
    <w:p w:rsidR="005A61D6" w:rsidRDefault="005A61D6" w:rsidP="00045674"/>
    <w:p w:rsidR="005A61D6" w:rsidRDefault="005A61D6" w:rsidP="00C21696">
      <w:pPr>
        <w:pStyle w:val="METBildunterschrift"/>
        <w:rPr>
          <w:lang w:val="en-US"/>
        </w:rPr>
      </w:pPr>
      <w:r w:rsidRPr="00160A8A">
        <w:rPr>
          <w:rStyle w:val="METBildunterschriftfett"/>
          <w:lang w:val="en-US"/>
        </w:rPr>
        <w:t>About Metrohm</w:t>
      </w:r>
      <w:r w:rsidRPr="00160A8A">
        <w:rPr>
          <w:rStyle w:val="METBildunterschriftfett"/>
          <w:lang w:val="en-US"/>
        </w:rPr>
        <w:br/>
      </w:r>
      <w:proofErr w:type="spellStart"/>
      <w:r w:rsidR="00C21696" w:rsidRPr="00C21696">
        <w:rPr>
          <w:lang w:val="en-US"/>
        </w:rPr>
        <w:t>Metrohm</w:t>
      </w:r>
      <w:proofErr w:type="spellEnd"/>
      <w:r w:rsidR="00C21696" w:rsidRPr="00C21696">
        <w:rPr>
          <w:lang w:val="en-US"/>
        </w:rPr>
        <w:t xml:space="preserve"> is one of the world’s most trusted manufacturers of high-precision instruments for laboratory and process analysis. </w:t>
      </w:r>
      <w:proofErr w:type="gramStart"/>
      <w:r w:rsidR="00C21696" w:rsidRPr="00C21696">
        <w:rPr>
          <w:lang w:val="en-US"/>
        </w:rPr>
        <w:t xml:space="preserve">The company was founded in 1943 by engineer </w:t>
      </w:r>
      <w:proofErr w:type="spellStart"/>
      <w:r w:rsidR="00C21696" w:rsidRPr="00C21696">
        <w:rPr>
          <w:lang w:val="en-US"/>
        </w:rPr>
        <w:t>Bertold</w:t>
      </w:r>
      <w:proofErr w:type="spellEnd"/>
      <w:r w:rsidR="00C21696" w:rsidRPr="00C21696">
        <w:rPr>
          <w:lang w:val="en-US"/>
        </w:rPr>
        <w:t xml:space="preserve"> </w:t>
      </w:r>
      <w:proofErr w:type="spellStart"/>
      <w:r w:rsidR="00C21696" w:rsidRPr="00C21696">
        <w:rPr>
          <w:lang w:val="en-US"/>
        </w:rPr>
        <w:t>Suhner</w:t>
      </w:r>
      <w:proofErr w:type="spellEnd"/>
      <w:r w:rsidR="00C21696" w:rsidRPr="00C21696">
        <w:rPr>
          <w:lang w:val="en-US"/>
        </w:rPr>
        <w:t xml:space="preserve"> in </w:t>
      </w:r>
      <w:proofErr w:type="spellStart"/>
      <w:r w:rsidR="00C21696" w:rsidRPr="00C21696">
        <w:rPr>
          <w:lang w:val="en-US"/>
        </w:rPr>
        <w:t>Herisau</w:t>
      </w:r>
      <w:proofErr w:type="spellEnd"/>
      <w:r w:rsidR="00C21696" w:rsidRPr="00C21696">
        <w:rPr>
          <w:lang w:val="en-US"/>
        </w:rPr>
        <w:t>, Switzerland, where it is headquartered to this day</w:t>
      </w:r>
      <w:proofErr w:type="gramEnd"/>
      <w:r w:rsidR="00C21696" w:rsidRPr="00C21696">
        <w:rPr>
          <w:lang w:val="en-US"/>
        </w:rPr>
        <w:t xml:space="preserve">. Metrohm offers a </w:t>
      </w:r>
      <w:proofErr w:type="spellStart"/>
      <w:r w:rsidR="00C21696" w:rsidRPr="00C21696">
        <w:rPr>
          <w:lang w:val="en-US"/>
        </w:rPr>
        <w:t>compre</w:t>
      </w:r>
      <w:r w:rsidR="00C21696">
        <w:rPr>
          <w:lang w:val="en-US"/>
        </w:rPr>
        <w:t>-</w:t>
      </w:r>
      <w:r w:rsidR="00C21696" w:rsidRPr="00C21696">
        <w:rPr>
          <w:lang w:val="en-US"/>
        </w:rPr>
        <w:t>hensive</w:t>
      </w:r>
      <w:proofErr w:type="spellEnd"/>
      <w:r w:rsidR="00C21696" w:rsidRPr="00C21696">
        <w:rPr>
          <w:lang w:val="en-US"/>
        </w:rPr>
        <w:t xml:space="preserve"> portfolio of analytical technologies ranging from titration and ion chromatography to </w:t>
      </w:r>
      <w:proofErr w:type="gramStart"/>
      <w:r w:rsidR="00C21696" w:rsidRPr="00C21696">
        <w:rPr>
          <w:lang w:val="en-US"/>
        </w:rPr>
        <w:t>near-infrared</w:t>
      </w:r>
      <w:proofErr w:type="gramEnd"/>
      <w:r w:rsidR="00C21696" w:rsidRPr="00C21696">
        <w:rPr>
          <w:lang w:val="en-US"/>
        </w:rPr>
        <w:t xml:space="preserve"> and Raman spectroscopy, </w:t>
      </w:r>
      <w:r w:rsidR="00160A8A">
        <w:rPr>
          <w:lang w:val="en-US"/>
        </w:rPr>
        <w:t>as well as several other techniques</w:t>
      </w:r>
      <w:r w:rsidR="00C21696" w:rsidRPr="00C21696">
        <w:rPr>
          <w:lang w:val="en-US"/>
        </w:rPr>
        <w:t xml:space="preserve">. Metrohm sells its products and provides services through its own local subsidiaries and exclusive </w:t>
      </w:r>
      <w:proofErr w:type="spellStart"/>
      <w:r w:rsidR="00C21696" w:rsidRPr="00C21696">
        <w:rPr>
          <w:lang w:val="en-US"/>
        </w:rPr>
        <w:t>distribu</w:t>
      </w:r>
      <w:proofErr w:type="spellEnd"/>
      <w:r w:rsidR="00C21696">
        <w:rPr>
          <w:lang w:val="en-US"/>
        </w:rPr>
        <w:t>-</w:t>
      </w:r>
      <w:r w:rsidR="00C21696" w:rsidRPr="00C21696">
        <w:rPr>
          <w:lang w:val="en-US"/>
        </w:rPr>
        <w:t xml:space="preserve">tors in more than 120 countries worldwide. </w:t>
      </w:r>
      <w:r w:rsidR="00160A8A">
        <w:rPr>
          <w:lang w:val="en-US"/>
        </w:rPr>
        <w:t>Our</w:t>
      </w:r>
      <w:r w:rsidR="00C21696" w:rsidRPr="00C21696">
        <w:rPr>
          <w:lang w:val="en-US"/>
        </w:rPr>
        <w:t xml:space="preserve"> mission </w:t>
      </w:r>
      <w:proofErr w:type="gramStart"/>
      <w:r w:rsidR="00C21696" w:rsidRPr="00C21696">
        <w:rPr>
          <w:lang w:val="en-US"/>
        </w:rPr>
        <w:t>in a nutshell</w:t>
      </w:r>
      <w:proofErr w:type="gramEnd"/>
      <w:r w:rsidR="00C21696" w:rsidRPr="00C21696">
        <w:rPr>
          <w:lang w:val="en-US"/>
        </w:rPr>
        <w:t xml:space="preserve"> is helping customers from virtually every industry analyze and maintain the quality of their products at every stage in the manufacturing process and beyond. Since 1982, </w:t>
      </w:r>
      <w:proofErr w:type="gramStart"/>
      <w:r w:rsidR="00C21696" w:rsidRPr="00C21696">
        <w:rPr>
          <w:lang w:val="en-US"/>
        </w:rPr>
        <w:t>Metrohm has been owned 100% by the non-profit Metrohm Foundation</w:t>
      </w:r>
      <w:proofErr w:type="gramEnd"/>
      <w:r w:rsidR="00160A8A">
        <w:rPr>
          <w:lang w:val="en-US"/>
        </w:rPr>
        <w:t>.</w:t>
      </w:r>
      <w:r w:rsidR="00C21696" w:rsidRPr="00C21696">
        <w:rPr>
          <w:lang w:val="en-US"/>
        </w:rPr>
        <w:t xml:space="preserve"> </w:t>
      </w:r>
      <w:r w:rsidR="00160A8A">
        <w:rPr>
          <w:lang w:val="en-US"/>
        </w:rPr>
        <w:t>This foundation</w:t>
      </w:r>
      <w:r w:rsidR="00C21696" w:rsidRPr="00C21696">
        <w:rPr>
          <w:lang w:val="en-US"/>
        </w:rPr>
        <w:t xml:space="preserve"> keeps to its purpose to support charitable, philanthropic, and cultural projects in </w:t>
      </w:r>
      <w:r w:rsidR="00160A8A">
        <w:rPr>
          <w:lang w:val="en-US"/>
        </w:rPr>
        <w:t>eastern</w:t>
      </w:r>
      <w:r w:rsidR="00C21696" w:rsidRPr="00C21696">
        <w:rPr>
          <w:lang w:val="en-US"/>
        </w:rPr>
        <w:t xml:space="preserve"> Switzerland and, above all, ensure the independence of the company.</w:t>
      </w:r>
    </w:p>
    <w:p w:rsidR="00EA1800" w:rsidRPr="00160A8A" w:rsidRDefault="00EA1800" w:rsidP="005A61D6">
      <w:pPr>
        <w:rPr>
          <w:rStyle w:val="Fett"/>
          <w:lang w:val="en-US"/>
        </w:rPr>
      </w:pPr>
    </w:p>
    <w:p w:rsidR="005A61D6" w:rsidRPr="00EA1800" w:rsidRDefault="00EA1800" w:rsidP="00EA1800">
      <w:pPr>
        <w:pStyle w:val="METBildunterschrift"/>
        <w:rPr>
          <w:rStyle w:val="METBildunterschriftfett"/>
        </w:rPr>
      </w:pPr>
      <w:proofErr w:type="spellStart"/>
      <w:r>
        <w:rPr>
          <w:rStyle w:val="METBildunterschriftfett"/>
        </w:rPr>
        <w:t>Contact</w:t>
      </w:r>
      <w:proofErr w:type="spellEnd"/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0" w:type="dxa"/>
          <w:bottom w:w="57" w:type="dxa"/>
          <w:right w:w="227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 w:rsidR="005A61D6" w:rsidTr="00EA1800">
        <w:tc>
          <w:tcPr>
            <w:tcW w:w="4927" w:type="dxa"/>
          </w:tcPr>
          <w:p w:rsidR="00C21696" w:rsidRDefault="00C21696" w:rsidP="00C21696">
            <w:pPr>
              <w:pStyle w:val="METHervorhebung"/>
            </w:pPr>
            <w:r>
              <w:t>Roman Moser</w:t>
            </w:r>
          </w:p>
          <w:p w:rsidR="00C21696" w:rsidRPr="008145F2" w:rsidRDefault="00C21696" w:rsidP="00C21696">
            <w:r>
              <w:t>Marketing Communication</w:t>
            </w:r>
            <w:r w:rsidRPr="00D764A7">
              <w:t xml:space="preserve"> </w:t>
            </w:r>
            <w:r w:rsidRPr="00D764A7">
              <w:br/>
            </w:r>
            <w:r>
              <w:t>Metrohm AG Herisau</w:t>
            </w:r>
          </w:p>
          <w:p w:rsidR="005A61D6" w:rsidRDefault="00C21696" w:rsidP="00C21696">
            <w:pPr>
              <w:rPr>
                <w:rStyle w:val="METBildunterschriftfett"/>
              </w:rPr>
            </w:pPr>
            <w:r>
              <w:t>+</w:t>
            </w:r>
            <w:r w:rsidRPr="005A61D6">
              <w:t xml:space="preserve">41 </w:t>
            </w:r>
            <w:r w:rsidRPr="00C21696">
              <w:t>71 353 86 68</w:t>
            </w:r>
            <w:r w:rsidRPr="00871B32">
              <w:rPr>
                <w:szCs w:val="20"/>
              </w:rPr>
              <w:br/>
            </w:r>
            <w:hyperlink r:id="rId10" w:history="1">
              <w:r w:rsidRPr="00A2605D">
                <w:rPr>
                  <w:rStyle w:val="Hyperlink"/>
                </w:rPr>
                <w:t>roman.moser@metrohm.com</w:t>
              </w:r>
            </w:hyperlink>
          </w:p>
        </w:tc>
        <w:tc>
          <w:tcPr>
            <w:tcW w:w="4927" w:type="dxa"/>
          </w:tcPr>
          <w:p w:rsidR="005A61D6" w:rsidRDefault="005A61D6" w:rsidP="005A61D6">
            <w:pPr>
              <w:rPr>
                <w:rStyle w:val="METBildunterschriftfett"/>
              </w:rPr>
            </w:pPr>
          </w:p>
        </w:tc>
      </w:tr>
    </w:tbl>
    <w:p w:rsidR="00EA1800" w:rsidRDefault="00EA1800" w:rsidP="00A13959">
      <w:pPr>
        <w:spacing w:line="240" w:lineRule="auto"/>
      </w:pPr>
    </w:p>
    <w:p w:rsidR="00A13959" w:rsidRPr="005E4E62" w:rsidRDefault="00A13959" w:rsidP="00A13959">
      <w:pPr>
        <w:spacing w:line="240" w:lineRule="auto"/>
        <w:rPr>
          <w:rFonts w:ascii="Calibri" w:hAnsi="Calibri"/>
        </w:rPr>
      </w:pPr>
      <w:r>
        <w:rPr>
          <w:noProof/>
          <w:lang w:val="de-CH" w:eastAsia="de-CH"/>
        </w:rPr>
        <w:drawing>
          <wp:inline distT="0" distB="0" distL="0" distR="0" wp14:anchorId="65ADB424" wp14:editId="7CD58A95">
            <wp:extent cx="246960" cy="252000"/>
            <wp:effectExtent l="0" t="0" r="1270" b="0"/>
            <wp:docPr id="47" name="Grafik 47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Grafik 47">
                      <a:hlinkClick r:id="rId11"/>
                    </pic:cNvPr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960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hyperlink r:id="rId16" w:history="1"/>
      <w:r w:rsidRPr="00E37AF3">
        <w:rPr>
          <w:rFonts w:ascii="Calibri" w:hAnsi="Calibri"/>
          <w:noProof/>
          <w:lang w:val="de-CH" w:eastAsia="de-CH"/>
        </w:rPr>
        <w:drawing>
          <wp:inline distT="0" distB="0" distL="0" distR="0" wp14:anchorId="062B18F6" wp14:editId="7BE92037">
            <wp:extent cx="252000" cy="252000"/>
            <wp:effectExtent l="0" t="0" r="0" b="0"/>
            <wp:docPr id="10" name="Grafik 10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</w:t>
      </w:r>
      <w:r w:rsidR="00D24E0B">
        <w:rPr>
          <w:rFonts w:ascii="Calibri" w:hAnsi="Calibri"/>
        </w:rPr>
        <w:t xml:space="preserve">  </w:t>
      </w:r>
      <w:r>
        <w:rPr>
          <w:rFonts w:ascii="Calibri" w:hAnsi="Calibri"/>
        </w:rPr>
        <w:t xml:space="preserve"> </w:t>
      </w:r>
      <w:r w:rsidRPr="00E37AF3">
        <w:rPr>
          <w:noProof/>
          <w:lang w:val="de-CH" w:eastAsia="de-CH"/>
        </w:rPr>
        <w:drawing>
          <wp:inline distT="0" distB="0" distL="0" distR="0" wp14:anchorId="413EBFAF" wp14:editId="5F2B0882">
            <wp:extent cx="257039" cy="252000"/>
            <wp:effectExtent l="0" t="0" r="0" b="0"/>
            <wp:docPr id="25" name="Grafik 25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Grafik 25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22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39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   </w:t>
      </w:r>
      <w:r w:rsidRPr="00E37AF3">
        <w:rPr>
          <w:rFonts w:ascii="Calibri" w:hAnsi="Calibri"/>
          <w:noProof/>
          <w:lang w:val="de-CH" w:eastAsia="de-CH"/>
        </w:rPr>
        <w:drawing>
          <wp:inline distT="0" distB="0" distL="0" distR="0" wp14:anchorId="55CEB681" wp14:editId="400F21EC">
            <wp:extent cx="231840" cy="252000"/>
            <wp:effectExtent l="0" t="0" r="0" b="0"/>
            <wp:docPr id="26" name="Grafik 26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Grafik 26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25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40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</w:t>
      </w:r>
      <w:r w:rsidR="00D24E0B">
        <w:rPr>
          <w:rFonts w:ascii="Calibri" w:hAnsi="Calibri"/>
        </w:rPr>
        <w:t xml:space="preserve">   </w:t>
      </w:r>
      <w:r>
        <w:rPr>
          <w:rFonts w:ascii="Calibri" w:hAnsi="Calibri"/>
        </w:rPr>
        <w:t xml:space="preserve">   </w:t>
      </w:r>
    </w:p>
    <w:p w:rsidR="005A61D6" w:rsidRDefault="005A61D6" w:rsidP="005A61D6">
      <w:pPr>
        <w:rPr>
          <w:rStyle w:val="METBildunterschriftfett"/>
        </w:rPr>
      </w:pPr>
    </w:p>
    <w:p w:rsidR="00D24E0B" w:rsidRDefault="00D24E0B" w:rsidP="005A61D6">
      <w:pPr>
        <w:rPr>
          <w:rStyle w:val="METBildunterschriftfett"/>
        </w:rPr>
      </w:pPr>
    </w:p>
    <w:p w:rsidR="00D24E0B" w:rsidRDefault="00D24E0B" w:rsidP="005A61D6">
      <w:pPr>
        <w:rPr>
          <w:rStyle w:val="METBildunterschriftfett"/>
        </w:rPr>
      </w:pPr>
    </w:p>
    <w:p w:rsidR="00D24E0B" w:rsidRPr="005A61D6" w:rsidRDefault="00D24E0B" w:rsidP="005A61D6">
      <w:pPr>
        <w:rPr>
          <w:rStyle w:val="METBildunterschriftfett"/>
        </w:rPr>
      </w:pPr>
    </w:p>
    <w:sectPr w:rsidR="00D24E0B" w:rsidRPr="005A61D6" w:rsidSect="00045674">
      <w:headerReference w:type="default" r:id="rId26"/>
      <w:footerReference w:type="default" r:id="rId27"/>
      <w:pgSz w:w="11906" w:h="16838" w:code="9"/>
      <w:pgMar w:top="1191" w:right="1021" w:bottom="454" w:left="102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B64" w:rsidRDefault="00705B64" w:rsidP="00810CAB">
      <w:pPr>
        <w:spacing w:line="240" w:lineRule="auto"/>
      </w:pPr>
      <w:r>
        <w:separator/>
      </w:r>
    </w:p>
  </w:endnote>
  <w:endnote w:type="continuationSeparator" w:id="0">
    <w:p w:rsidR="00705B64" w:rsidRDefault="00705B64" w:rsidP="00810C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ue Frutiger World Light">
    <w:panose1 w:val="020B0403040304020203"/>
    <w:charset w:val="00"/>
    <w:family w:val="swiss"/>
    <w:pitch w:val="variable"/>
    <w:sig w:usb0="A5002EEF" w:usb1="C0000023" w:usb2="00000008" w:usb3="00000000" w:csb0="000101FF" w:csb1="00000000"/>
  </w:font>
  <w:font w:name="Neue Frutiger World">
    <w:altName w:val="Neue Frutiger World Book"/>
    <w:panose1 w:val="020B0603040304020203"/>
    <w:charset w:val="00"/>
    <w:family w:val="swiss"/>
    <w:pitch w:val="variable"/>
    <w:sig w:usb0="A5002EEF" w:usb1="C0000023" w:usb2="00000008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ueFrutigerWorl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0D2" w:rsidRDefault="000B40D2" w:rsidP="000B40D2">
    <w:pPr>
      <w:pStyle w:val="Fuzeile"/>
    </w:pPr>
  </w:p>
  <w:p w:rsidR="000B40D2" w:rsidRDefault="000B40D2" w:rsidP="000B40D2">
    <w:pPr>
      <w:pStyle w:val="Fuzeile"/>
    </w:pPr>
  </w:p>
  <w:p w:rsidR="000B40D2" w:rsidRDefault="00705B64" w:rsidP="000B40D2">
    <w:pPr>
      <w:pStyle w:val="Fuzeile"/>
    </w:pPr>
    <w:sdt>
      <w:sdtPr>
        <w:id w:val="-1439745461"/>
        <w:docPartObj>
          <w:docPartGallery w:val="Page Numbers (Top of Page)"/>
          <w:docPartUnique/>
        </w:docPartObj>
      </w:sdtPr>
      <w:sdtEndPr/>
      <w:sdtContent>
        <w:r w:rsidR="000B40D2" w:rsidRPr="00560EE9">
          <w:fldChar w:fldCharType="begin"/>
        </w:r>
        <w:r w:rsidR="000B40D2" w:rsidRPr="00560EE9">
          <w:instrText>PAGE</w:instrText>
        </w:r>
        <w:r w:rsidR="000B40D2" w:rsidRPr="00560EE9">
          <w:fldChar w:fldCharType="separate"/>
        </w:r>
        <w:r w:rsidR="00814DA9">
          <w:rPr>
            <w:noProof/>
          </w:rPr>
          <w:t>2</w:t>
        </w:r>
        <w:r w:rsidR="000B40D2" w:rsidRPr="00560EE9">
          <w:fldChar w:fldCharType="end"/>
        </w:r>
        <w:r w:rsidR="000B40D2" w:rsidRPr="00560EE9">
          <w:t xml:space="preserve"> </w:t>
        </w:r>
        <w:r w:rsidR="000B40D2">
          <w:t>/</w:t>
        </w:r>
        <w:r w:rsidR="000B40D2" w:rsidRPr="00560EE9">
          <w:t xml:space="preserve"> </w:t>
        </w:r>
        <w:r w:rsidR="000B40D2" w:rsidRPr="00560EE9">
          <w:fldChar w:fldCharType="begin"/>
        </w:r>
        <w:r w:rsidR="000B40D2" w:rsidRPr="00560EE9">
          <w:instrText>NUMPAGES</w:instrText>
        </w:r>
        <w:r w:rsidR="000B40D2" w:rsidRPr="00560EE9">
          <w:fldChar w:fldCharType="separate"/>
        </w:r>
        <w:r w:rsidR="00814DA9">
          <w:rPr>
            <w:noProof/>
          </w:rPr>
          <w:t>2</w:t>
        </w:r>
        <w:r w:rsidR="000B40D2" w:rsidRPr="00560EE9">
          <w:fldChar w:fldCharType="end"/>
        </w:r>
        <w:r w:rsidR="000B40D2">
          <w:rPr>
            <w:noProof/>
            <w:lang w:val="de-CH" w:eastAsia="de-CH"/>
          </w:rPr>
          <w:drawing>
            <wp:anchor distT="0" distB="0" distL="114300" distR="114300" simplePos="0" relativeHeight="251659264" behindDoc="1" locked="1" layoutInCell="1" allowOverlap="1" wp14:anchorId="40D7548C" wp14:editId="1FD349DD">
              <wp:simplePos x="0" y="0"/>
              <wp:positionH relativeFrom="page">
                <wp:posOffset>5220970</wp:posOffset>
              </wp:positionH>
              <wp:positionV relativeFrom="page">
                <wp:posOffset>10020300</wp:posOffset>
              </wp:positionV>
              <wp:extent cx="1692000" cy="324000"/>
              <wp:effectExtent l="0" t="0" r="3810" b="0"/>
              <wp:wrapNone/>
              <wp:docPr id="5" name="Grafik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Metrohm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92000" cy="324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B64" w:rsidRDefault="00705B64" w:rsidP="00810CAB">
      <w:pPr>
        <w:spacing w:line="240" w:lineRule="auto"/>
      </w:pPr>
      <w:r>
        <w:separator/>
      </w:r>
    </w:p>
  </w:footnote>
  <w:footnote w:type="continuationSeparator" w:id="0">
    <w:p w:rsidR="00705B64" w:rsidRDefault="00705B64" w:rsidP="00810C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CAB" w:rsidRPr="00C21696" w:rsidRDefault="00810CAB" w:rsidP="00122020">
    <w:pPr>
      <w:pStyle w:val="METKopfzeilePR"/>
      <w:rPr>
        <w:bCs/>
        <w:color w:val="008F8B" w:themeColor="accent1"/>
      </w:rPr>
    </w:pPr>
    <w:bookmarkStart w:id="3" w:name="_Hlk25926042"/>
    <w:bookmarkStart w:id="4" w:name="_Hlk25926043"/>
    <w:bookmarkStart w:id="5" w:name="_Hlk25926045"/>
    <w:bookmarkStart w:id="6" w:name="_Hlk25926046"/>
    <w:bookmarkStart w:id="7" w:name="_Hlk25926047"/>
    <w:bookmarkStart w:id="8" w:name="_Hlk25926048"/>
    <w:bookmarkStart w:id="9" w:name="_Hlk25926049"/>
    <w:bookmarkStart w:id="10" w:name="_Hlk25926050"/>
    <w:bookmarkStart w:id="11" w:name="_Hlk25926051"/>
    <w:bookmarkStart w:id="12" w:name="_Hlk25926052"/>
    <w:bookmarkStart w:id="13" w:name="_Hlk25926053"/>
    <w:bookmarkStart w:id="14" w:name="_Hlk25926054"/>
    <w:bookmarkStart w:id="15" w:name="_Hlk25926055"/>
    <w:bookmarkStart w:id="16" w:name="_Hlk25926056"/>
    <w:bookmarkStart w:id="17" w:name="_Hlk25926057"/>
    <w:bookmarkStart w:id="18" w:name="_Hlk25926058"/>
    <w:r w:rsidRPr="00C21696">
      <w:rPr>
        <w:color w:val="008F8B" w:themeColor="accent1"/>
      </w:rPr>
      <w:t>Press Release for immediate publication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941F4"/>
    <w:multiLevelType w:val="hybridMultilevel"/>
    <w:tmpl w:val="BAFAB220"/>
    <w:lvl w:ilvl="0" w:tplc="97CACBB4">
      <w:start w:val="1"/>
      <w:numFmt w:val="bullet"/>
      <w:pStyle w:val="Listenabsatz"/>
      <w:lvlText w:val="¬"/>
      <w:lvlJc w:val="left"/>
      <w:pPr>
        <w:ind w:left="144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1A41371"/>
    <w:multiLevelType w:val="hybridMultilevel"/>
    <w:tmpl w:val="F964017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829"/>
    <w:rsid w:val="0000213A"/>
    <w:rsid w:val="00045674"/>
    <w:rsid w:val="0005589B"/>
    <w:rsid w:val="00060CFD"/>
    <w:rsid w:val="000908C3"/>
    <w:rsid w:val="000B40D2"/>
    <w:rsid w:val="000C70E0"/>
    <w:rsid w:val="00113641"/>
    <w:rsid w:val="001142CE"/>
    <w:rsid w:val="00117AF8"/>
    <w:rsid w:val="00122020"/>
    <w:rsid w:val="0014413C"/>
    <w:rsid w:val="00160A8A"/>
    <w:rsid w:val="00177B19"/>
    <w:rsid w:val="001A4D18"/>
    <w:rsid w:val="001D08E6"/>
    <w:rsid w:val="002343E0"/>
    <w:rsid w:val="00237709"/>
    <w:rsid w:val="0026586B"/>
    <w:rsid w:val="00287C4C"/>
    <w:rsid w:val="002C794A"/>
    <w:rsid w:val="002F5FA7"/>
    <w:rsid w:val="00337EC5"/>
    <w:rsid w:val="00356E09"/>
    <w:rsid w:val="00383891"/>
    <w:rsid w:val="003B1833"/>
    <w:rsid w:val="003C2F00"/>
    <w:rsid w:val="00407648"/>
    <w:rsid w:val="004311DE"/>
    <w:rsid w:val="00460F6C"/>
    <w:rsid w:val="004921FC"/>
    <w:rsid w:val="004B2D77"/>
    <w:rsid w:val="004C12B1"/>
    <w:rsid w:val="004E1DB6"/>
    <w:rsid w:val="00521ADC"/>
    <w:rsid w:val="00570ACE"/>
    <w:rsid w:val="005951BB"/>
    <w:rsid w:val="005A1017"/>
    <w:rsid w:val="005A44F9"/>
    <w:rsid w:val="005A61D6"/>
    <w:rsid w:val="006140C9"/>
    <w:rsid w:val="006356D0"/>
    <w:rsid w:val="00692E8A"/>
    <w:rsid w:val="006A5B1A"/>
    <w:rsid w:val="00705B64"/>
    <w:rsid w:val="007257C3"/>
    <w:rsid w:val="00734719"/>
    <w:rsid w:val="00751077"/>
    <w:rsid w:val="00756359"/>
    <w:rsid w:val="00782829"/>
    <w:rsid w:val="007B4ED5"/>
    <w:rsid w:val="007C6A5D"/>
    <w:rsid w:val="007E485B"/>
    <w:rsid w:val="007F5038"/>
    <w:rsid w:val="00800390"/>
    <w:rsid w:val="00810CAB"/>
    <w:rsid w:val="00814DA9"/>
    <w:rsid w:val="00822934"/>
    <w:rsid w:val="00823309"/>
    <w:rsid w:val="00845ABE"/>
    <w:rsid w:val="00845B1A"/>
    <w:rsid w:val="00883A34"/>
    <w:rsid w:val="008A2946"/>
    <w:rsid w:val="008B6F91"/>
    <w:rsid w:val="008C0655"/>
    <w:rsid w:val="008D4C87"/>
    <w:rsid w:val="0090399F"/>
    <w:rsid w:val="00903A9F"/>
    <w:rsid w:val="009053A1"/>
    <w:rsid w:val="0095057B"/>
    <w:rsid w:val="00963391"/>
    <w:rsid w:val="00976754"/>
    <w:rsid w:val="009874E9"/>
    <w:rsid w:val="009C00A8"/>
    <w:rsid w:val="009C0A46"/>
    <w:rsid w:val="00A13959"/>
    <w:rsid w:val="00A36469"/>
    <w:rsid w:val="00A42CBA"/>
    <w:rsid w:val="00A57ED4"/>
    <w:rsid w:val="00A60784"/>
    <w:rsid w:val="00AD5FCA"/>
    <w:rsid w:val="00B043D7"/>
    <w:rsid w:val="00B05409"/>
    <w:rsid w:val="00B612EE"/>
    <w:rsid w:val="00B66004"/>
    <w:rsid w:val="00B7577B"/>
    <w:rsid w:val="00BD71C0"/>
    <w:rsid w:val="00C21696"/>
    <w:rsid w:val="00C27ABE"/>
    <w:rsid w:val="00C313FD"/>
    <w:rsid w:val="00C74968"/>
    <w:rsid w:val="00C82A07"/>
    <w:rsid w:val="00C9224D"/>
    <w:rsid w:val="00CA0359"/>
    <w:rsid w:val="00D24E0B"/>
    <w:rsid w:val="00E668BE"/>
    <w:rsid w:val="00E9273F"/>
    <w:rsid w:val="00EA1800"/>
    <w:rsid w:val="00EB756A"/>
    <w:rsid w:val="00EE5DB6"/>
    <w:rsid w:val="00F15FAD"/>
    <w:rsid w:val="00F179B5"/>
    <w:rsid w:val="00F64924"/>
    <w:rsid w:val="00FB0A41"/>
    <w:rsid w:val="00FB4C7F"/>
    <w:rsid w:val="00FD29E6"/>
    <w:rsid w:val="00FE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BC46C06"/>
  <w15:chartTrackingRefBased/>
  <w15:docId w15:val="{966D9C0F-1722-4FAA-A9CA-2DE40CEA2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23309"/>
    <w:pPr>
      <w:spacing w:after="0" w:line="280" w:lineRule="exact"/>
    </w:pPr>
    <w:rPr>
      <w:color w:val="49494A" w:themeColor="text1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22020"/>
    <w:pPr>
      <w:keepNext/>
      <w:keepLines/>
      <w:spacing w:after="400" w:line="600" w:lineRule="exact"/>
      <w:outlineLvl w:val="0"/>
    </w:pPr>
    <w:rPr>
      <w:rFonts w:asciiTheme="majorHAnsi" w:eastAsiaTheme="majorEastAsia" w:hAnsiTheme="majorHAnsi" w:cstheme="majorBidi"/>
      <w:sz w:val="4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22020"/>
    <w:pPr>
      <w:keepNext/>
      <w:keepLines/>
      <w:spacing w:after="400" w:line="430" w:lineRule="exact"/>
      <w:outlineLvl w:val="1"/>
    </w:pPr>
    <w:rPr>
      <w:rFonts w:asciiTheme="majorHAnsi" w:eastAsiaTheme="majorEastAsia" w:hAnsiTheme="majorHAnsi" w:cstheme="majorBidi"/>
      <w:sz w:val="3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10CAB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0CAB"/>
  </w:style>
  <w:style w:type="paragraph" w:styleId="Fuzeile">
    <w:name w:val="footer"/>
    <w:basedOn w:val="Standard"/>
    <w:link w:val="FuzeileZchn"/>
    <w:uiPriority w:val="99"/>
    <w:unhideWhenUsed/>
    <w:rsid w:val="000B40D2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0B40D2"/>
    <w:rPr>
      <w:rFonts w:ascii="Neue Frutiger World" w:hAnsi="Neue Frutiger World"/>
      <w:color w:val="49494A" w:themeColor="text1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22020"/>
    <w:rPr>
      <w:rFonts w:asciiTheme="majorHAnsi" w:eastAsiaTheme="majorEastAsia" w:hAnsiTheme="majorHAnsi" w:cstheme="majorBidi"/>
      <w:color w:val="49494A" w:themeColor="text1"/>
      <w:sz w:val="48"/>
      <w:szCs w:val="32"/>
    </w:rPr>
  </w:style>
  <w:style w:type="paragraph" w:styleId="KeinLeerraum">
    <w:name w:val="No Spacing"/>
    <w:uiPriority w:val="1"/>
    <w:qFormat/>
    <w:rsid w:val="00810CAB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810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122020"/>
    <w:rPr>
      <w:rFonts w:asciiTheme="majorHAnsi" w:eastAsiaTheme="majorEastAsia" w:hAnsiTheme="majorHAnsi" w:cstheme="majorBidi"/>
      <w:color w:val="49494A" w:themeColor="text1"/>
      <w:sz w:val="36"/>
      <w:szCs w:val="26"/>
    </w:rPr>
  </w:style>
  <w:style w:type="paragraph" w:styleId="Titel">
    <w:name w:val="Title"/>
    <w:basedOn w:val="Standard"/>
    <w:next w:val="Standard"/>
    <w:link w:val="TitelZchn"/>
    <w:uiPriority w:val="10"/>
    <w:rsid w:val="00B043D7"/>
    <w:pPr>
      <w:spacing w:after="400" w:line="600" w:lineRule="exact"/>
      <w:contextualSpacing/>
    </w:pPr>
    <w:rPr>
      <w:rFonts w:asciiTheme="majorHAnsi" w:eastAsiaTheme="majorEastAsia" w:hAnsiTheme="majorHAnsi" w:cstheme="majorBidi"/>
      <w:spacing w:val="20"/>
      <w:kern w:val="28"/>
      <w:sz w:val="4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043D7"/>
    <w:rPr>
      <w:rFonts w:asciiTheme="majorHAnsi" w:eastAsiaTheme="majorEastAsia" w:hAnsiTheme="majorHAnsi" w:cstheme="majorBidi"/>
      <w:color w:val="49494A" w:themeColor="text1"/>
      <w:spacing w:val="20"/>
      <w:kern w:val="28"/>
      <w:sz w:val="48"/>
      <w:szCs w:val="56"/>
    </w:rPr>
  </w:style>
  <w:style w:type="character" w:styleId="Fett">
    <w:name w:val="Strong"/>
    <w:basedOn w:val="Absatz-Standardschriftart"/>
    <w:uiPriority w:val="22"/>
    <w:rsid w:val="000B40D2"/>
    <w:rPr>
      <w:rFonts w:ascii="Neue Frutiger World" w:hAnsi="Neue Frutiger World"/>
      <w:b/>
      <w:bCs/>
    </w:rPr>
  </w:style>
  <w:style w:type="paragraph" w:customStyle="1" w:styleId="METTeaser">
    <w:name w:val="MET_Teaser"/>
    <w:basedOn w:val="Standard"/>
    <w:qFormat/>
    <w:rsid w:val="005A61D6"/>
    <w:pPr>
      <w:spacing w:after="400"/>
    </w:pPr>
    <w:rPr>
      <w:rFonts w:ascii="Neue Frutiger World" w:hAnsi="Neue Frutiger World"/>
      <w:b/>
    </w:rPr>
  </w:style>
  <w:style w:type="paragraph" w:styleId="Listenabsatz">
    <w:name w:val="List Paragraph"/>
    <w:basedOn w:val="Standard"/>
    <w:uiPriority w:val="34"/>
    <w:qFormat/>
    <w:rsid w:val="000B40D2"/>
    <w:pPr>
      <w:numPr>
        <w:numId w:val="1"/>
      </w:numPr>
      <w:ind w:left="284" w:hanging="284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675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6754"/>
    <w:rPr>
      <w:rFonts w:ascii="Segoe UI" w:hAnsi="Segoe UI" w:cs="Segoe UI"/>
      <w:color w:val="49494A" w:themeColor="text1"/>
      <w:sz w:val="18"/>
      <w:szCs w:val="18"/>
    </w:rPr>
  </w:style>
  <w:style w:type="paragraph" w:customStyle="1" w:styleId="METKopfzeilePR">
    <w:name w:val="MET_Kopfzeile_PR"/>
    <w:basedOn w:val="berschrift1"/>
    <w:qFormat/>
    <w:rsid w:val="00122020"/>
    <w:pPr>
      <w:spacing w:after="0" w:line="240" w:lineRule="auto"/>
    </w:pPr>
    <w:rPr>
      <w:rFonts w:ascii="Neue Frutiger World" w:hAnsi="Neue Frutiger World" w:cstheme="minorHAnsi"/>
      <w:b/>
      <w:caps/>
      <w:color w:val="61C3D9" w:themeColor="accent3"/>
      <w:sz w:val="20"/>
    </w:rPr>
  </w:style>
  <w:style w:type="character" w:customStyle="1" w:styleId="METBildunterschriftfett">
    <w:name w:val="MET_Bildunterschrift_fett"/>
    <w:basedOn w:val="Absatz-Standardschriftart"/>
    <w:qFormat/>
    <w:rsid w:val="00823309"/>
    <w:rPr>
      <w:rFonts w:ascii="Neue Frutiger World" w:hAnsi="Neue Frutiger World"/>
      <w:b/>
      <w:sz w:val="16"/>
    </w:rPr>
  </w:style>
  <w:style w:type="paragraph" w:customStyle="1" w:styleId="METBildunterschrift">
    <w:name w:val="MET_Bildunterschrift"/>
    <w:basedOn w:val="Standard"/>
    <w:qFormat/>
    <w:rsid w:val="00823309"/>
    <w:pPr>
      <w:pBdr>
        <w:top w:val="single" w:sz="4" w:space="1" w:color="49494A" w:themeColor="text1"/>
      </w:pBdr>
      <w:spacing w:line="240" w:lineRule="auto"/>
    </w:pPr>
    <w:rPr>
      <w:sz w:val="16"/>
    </w:rPr>
  </w:style>
  <w:style w:type="character" w:styleId="Hyperlink">
    <w:name w:val="Hyperlink"/>
    <w:basedOn w:val="Absatz-Standardschriftart"/>
    <w:uiPriority w:val="99"/>
    <w:unhideWhenUsed/>
    <w:rsid w:val="005A61D6"/>
    <w:rPr>
      <w:color w:val="49494A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A61D6"/>
    <w:rPr>
      <w:color w:val="605E5C"/>
      <w:shd w:val="clear" w:color="auto" w:fill="E1DFDD"/>
    </w:rPr>
  </w:style>
  <w:style w:type="paragraph" w:customStyle="1" w:styleId="METHervorhebung">
    <w:name w:val="MET_Hervorhebung"/>
    <w:basedOn w:val="Standard"/>
    <w:qFormat/>
    <w:rsid w:val="00EA1800"/>
    <w:rPr>
      <w:rFonts w:ascii="Neue Frutiger World" w:hAnsi="Neue Frutiger World"/>
      <w:b/>
    </w:rPr>
  </w:style>
  <w:style w:type="paragraph" w:styleId="Textkrper">
    <w:name w:val="Body Text"/>
    <w:basedOn w:val="Standard"/>
    <w:link w:val="TextkrperZchn"/>
    <w:uiPriority w:val="1"/>
    <w:qFormat/>
    <w:rsid w:val="00C27ABE"/>
    <w:pPr>
      <w:widowControl w:val="0"/>
      <w:autoSpaceDE w:val="0"/>
      <w:autoSpaceDN w:val="0"/>
      <w:spacing w:line="240" w:lineRule="auto"/>
    </w:pPr>
    <w:rPr>
      <w:rFonts w:ascii="Arial" w:eastAsia="Arial" w:hAnsi="Arial" w:cs="Arial"/>
      <w:color w:val="auto"/>
      <w:sz w:val="18"/>
      <w:szCs w:val="18"/>
      <w:lang w:val="en-US" w:bidi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C27ABE"/>
    <w:rPr>
      <w:rFonts w:ascii="Arial" w:eastAsia="Arial" w:hAnsi="Arial" w:cs="Arial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trohm.com/en/products/ph-ion-measurement/portable-conductivity-and-ph-meters/o2-lumitrode-do-dissolved-oxygen-sensor/dissolved-oxygen-measurement-white-paper/" TargetMode="External"/><Relationship Id="rId18" Type="http://schemas.openxmlformats.org/officeDocument/2006/relationships/image" Target="media/image3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4.pn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yperlink" Target="https://www.facebook.com/MetrohmGroup/" TargetMode="External"/><Relationship Id="rId25" Type="http://schemas.openxmlformats.org/officeDocument/2006/relationships/image" Target="media/image9.svg"/><Relationship Id="rId2" Type="http://schemas.openxmlformats.org/officeDocument/2006/relationships/numbering" Target="numbering.xml"/><Relationship Id="rId16" Type="http://schemas.openxmlformats.org/officeDocument/2006/relationships/hyperlink" Target="https://www.facebook.com/SchaefflerDeutschland" TargetMode="External"/><Relationship Id="rId20" Type="http://schemas.openxmlformats.org/officeDocument/2006/relationships/hyperlink" Target="https://www.youtube.com/user/MetrohmTV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trohm.com/" TargetMode="External"/><Relationship Id="rId24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3.svg"/><Relationship Id="rId23" Type="http://schemas.openxmlformats.org/officeDocument/2006/relationships/hyperlink" Target="https://www.linkedin.com/company/metrohmhq/?viewAsMember=true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roman.moser@metrohm.com" TargetMode="External"/><Relationship Id="rId19" Type="http://schemas.openxmlformats.org/officeDocument/2006/relationships/image" Target="media/image5.sv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22" Type="http://schemas.openxmlformats.org/officeDocument/2006/relationships/image" Target="media/image7.svg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Metrohm_2019_colors">
      <a:dk1>
        <a:srgbClr val="49494A"/>
      </a:dk1>
      <a:lt1>
        <a:srgbClr val="FFFFFF"/>
      </a:lt1>
      <a:dk2>
        <a:srgbClr val="005C7E"/>
      </a:dk2>
      <a:lt2>
        <a:srgbClr val="E6E6E6"/>
      </a:lt2>
      <a:accent1>
        <a:srgbClr val="008F8B"/>
      </a:accent1>
      <a:accent2>
        <a:srgbClr val="666666"/>
      </a:accent2>
      <a:accent3>
        <a:srgbClr val="61C3D9"/>
      </a:accent3>
      <a:accent4>
        <a:srgbClr val="A2C617"/>
      </a:accent4>
      <a:accent5>
        <a:srgbClr val="F2BF00"/>
      </a:accent5>
      <a:accent6>
        <a:srgbClr val="EC6608"/>
      </a:accent6>
      <a:hlink>
        <a:srgbClr val="49494A"/>
      </a:hlink>
      <a:folHlink>
        <a:srgbClr val="B1B1B1"/>
      </a:folHlink>
    </a:clrScheme>
    <a:fontScheme name="Metrohm_2019_fonts">
      <a:majorFont>
        <a:latin typeface="Neue Frutiger World Light"/>
        <a:ea typeface=""/>
        <a:cs typeface=""/>
      </a:majorFont>
      <a:minorFont>
        <a:latin typeface="Neue Frutiger World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3D49C-EEAE-4EC0-8196-FFC54C0B0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2839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Moser, Roman</dc:creator>
  <cp:keywords/>
  <dc:description/>
  <cp:lastModifiedBy>Buchli, Michel</cp:lastModifiedBy>
  <cp:revision>7</cp:revision>
  <cp:lastPrinted>2019-11-14T14:08:00Z</cp:lastPrinted>
  <dcterms:created xsi:type="dcterms:W3CDTF">2020-07-20T07:30:00Z</dcterms:created>
  <dcterms:modified xsi:type="dcterms:W3CDTF">2020-08-06T07:09:00Z</dcterms:modified>
</cp:coreProperties>
</file>