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8A7E38" w:rsidTr="000B40D2">
        <w:trPr>
          <w:trHeight w:val="1134"/>
        </w:trPr>
        <w:tc>
          <w:tcPr>
            <w:tcW w:w="9866" w:type="dxa"/>
            <w:gridSpan w:val="2"/>
          </w:tcPr>
          <w:p w:rsidR="002F5FA7" w:rsidRPr="00160A8A" w:rsidRDefault="008A7E38" w:rsidP="00D95E60">
            <w:pPr>
              <w:pStyle w:val="berschrift1"/>
              <w:outlineLvl w:val="0"/>
              <w:rPr>
                <w:lang w:val="en-US"/>
              </w:rPr>
            </w:pPr>
            <w:bookmarkStart w:id="0" w:name="_Hlk25926166"/>
            <w:bookmarkStart w:id="1" w:name="_GoBack"/>
            <w:bookmarkEnd w:id="1"/>
            <w:r>
              <w:rPr>
                <w:lang w:val="en-US"/>
              </w:rPr>
              <w:t>Free white paper</w:t>
            </w:r>
            <w:r w:rsidR="00113641">
              <w:rPr>
                <w:lang w:val="en-US"/>
              </w:rPr>
              <w:t xml:space="preserve"> </w:t>
            </w:r>
          </w:p>
        </w:tc>
      </w:tr>
      <w:tr w:rsidR="00287C4C" w:rsidRPr="003B742A" w:rsidTr="00287C4C">
        <w:trPr>
          <w:trHeight w:val="170"/>
        </w:trPr>
        <w:tc>
          <w:tcPr>
            <w:tcW w:w="9866" w:type="dxa"/>
            <w:gridSpan w:val="2"/>
          </w:tcPr>
          <w:p w:rsidR="00287C4C" w:rsidRPr="00160A8A" w:rsidRDefault="00D95E60" w:rsidP="00D95E60">
            <w:pPr>
              <w:pStyle w:val="berschrift2"/>
              <w:outlineLvl w:val="1"/>
              <w:rPr>
                <w:lang w:val="en-US"/>
              </w:rPr>
            </w:pPr>
            <w:r>
              <w:rPr>
                <w:lang w:val="en-US"/>
              </w:rPr>
              <w:t>How to maximize the methane yield of biogas plants using the FOS/TAC ratio as a control parameter</w:t>
            </w:r>
          </w:p>
        </w:tc>
      </w:tr>
      <w:tr w:rsidR="00810CAB" w:rsidRPr="003B742A" w:rsidTr="00C21696">
        <w:trPr>
          <w:trHeight w:hRule="exact" w:val="454"/>
        </w:trPr>
        <w:tc>
          <w:tcPr>
            <w:tcW w:w="1134" w:type="dxa"/>
            <w:tcBorders>
              <w:top w:val="single" w:sz="18" w:space="0" w:color="008F8B" w:themeColor="accent1"/>
            </w:tcBorders>
          </w:tcPr>
          <w:p w:rsidR="00810CAB" w:rsidRPr="00160A8A" w:rsidRDefault="00810CAB">
            <w:pPr>
              <w:spacing w:line="240" w:lineRule="auto"/>
              <w:rPr>
                <w:lang w:val="en-US"/>
              </w:rPr>
            </w:pPr>
          </w:p>
        </w:tc>
        <w:tc>
          <w:tcPr>
            <w:tcW w:w="8732" w:type="dxa"/>
          </w:tcPr>
          <w:p w:rsidR="00810CAB" w:rsidRPr="00160A8A" w:rsidRDefault="00810CAB">
            <w:pPr>
              <w:rPr>
                <w:lang w:val="en-US"/>
              </w:rPr>
            </w:pPr>
          </w:p>
        </w:tc>
      </w:tr>
    </w:tbl>
    <w:p w:rsidR="00D95E60" w:rsidRPr="00113641" w:rsidRDefault="00113641" w:rsidP="00287C4C">
      <w:pPr>
        <w:pStyle w:val="METTeaser"/>
        <w:rPr>
          <w:lang w:val="en-US"/>
        </w:rPr>
      </w:pPr>
      <w:bookmarkStart w:id="2" w:name="_Hlk25926789"/>
      <w:bookmarkEnd w:id="0"/>
      <w:r>
        <w:rPr>
          <w:lang w:val="en-US"/>
        </w:rPr>
        <w:t>Herisau</w:t>
      </w:r>
      <w:r w:rsidR="002F5FA7" w:rsidRPr="00160A8A">
        <w:rPr>
          <w:lang w:val="en-US"/>
        </w:rPr>
        <w:t xml:space="preserve">, </w:t>
      </w:r>
      <w:r w:rsidR="00D95E60">
        <w:rPr>
          <w:lang w:val="en-US"/>
        </w:rPr>
        <w:t>24</w:t>
      </w:r>
      <w:r w:rsidR="002F5FA7" w:rsidRPr="00160A8A">
        <w:rPr>
          <w:lang w:val="en-US"/>
        </w:rPr>
        <w:t xml:space="preserve"> </w:t>
      </w:r>
      <w:r w:rsidR="00D95E60">
        <w:rPr>
          <w:lang w:val="en-US"/>
        </w:rPr>
        <w:t>April</w:t>
      </w:r>
      <w:r w:rsidR="002F5FA7" w:rsidRPr="00160A8A">
        <w:rPr>
          <w:lang w:val="en-US"/>
        </w:rPr>
        <w:t xml:space="preserve"> </w:t>
      </w:r>
      <w:r>
        <w:rPr>
          <w:lang w:val="en-US"/>
        </w:rPr>
        <w:t>2020</w:t>
      </w:r>
      <w:r w:rsidR="002F5FA7" w:rsidRPr="00160A8A">
        <w:rPr>
          <w:lang w:val="en-US"/>
        </w:rPr>
        <w:t>.</w:t>
      </w:r>
      <w:r w:rsidR="002F5FA7">
        <w:rPr>
          <w:lang w:val="en-US"/>
        </w:rPr>
        <w:br/>
      </w:r>
      <w:r w:rsidR="00D95E60" w:rsidRPr="004E7F0F">
        <w:rPr>
          <w:lang w:val="en-US"/>
        </w:rPr>
        <w:t xml:space="preserve">Monitoring the ratio of free organic acids (FOS) to total inorganic carbonate (TAC) is the </w:t>
      </w:r>
      <w:r w:rsidR="00482682">
        <w:rPr>
          <w:lang w:val="en-US"/>
        </w:rPr>
        <w:t>best</w:t>
      </w:r>
      <w:r w:rsidR="00D95E60" w:rsidRPr="004E7F0F">
        <w:rPr>
          <w:lang w:val="en-US"/>
        </w:rPr>
        <w:t xml:space="preserve"> practice how to monitor the fermen</w:t>
      </w:r>
      <w:r w:rsidR="00D95E60">
        <w:rPr>
          <w:lang w:val="en-US"/>
        </w:rPr>
        <w:t>t</w:t>
      </w:r>
      <w:r w:rsidR="00D95E60" w:rsidRPr="004E7F0F">
        <w:rPr>
          <w:lang w:val="en-US"/>
        </w:rPr>
        <w:t>ation process in biogas reactors. Keeping this ratio stable within a defined window is key to maximizing the methan</w:t>
      </w:r>
      <w:r w:rsidR="00D95E60">
        <w:rPr>
          <w:lang w:val="en-US"/>
        </w:rPr>
        <w:t>e output and hence the profitab</w:t>
      </w:r>
      <w:r w:rsidR="00D95E60" w:rsidRPr="004E7F0F">
        <w:rPr>
          <w:lang w:val="en-US"/>
        </w:rPr>
        <w:t>ili</w:t>
      </w:r>
      <w:r w:rsidR="00D95E60">
        <w:rPr>
          <w:lang w:val="en-US"/>
        </w:rPr>
        <w:t>t</w:t>
      </w:r>
      <w:r w:rsidR="00D95E60" w:rsidRPr="004E7F0F">
        <w:rPr>
          <w:lang w:val="en-US"/>
        </w:rPr>
        <w:t xml:space="preserve">y of a biogas plant. </w:t>
      </w:r>
      <w:r w:rsidR="00D95E60" w:rsidRPr="004E7F0F">
        <w:rPr>
          <w:bCs/>
          <w:lang w:val="en-US"/>
        </w:rPr>
        <w:t>A free white paper</w:t>
      </w:r>
      <w:r w:rsidR="00D95E60" w:rsidRPr="004E7F0F">
        <w:rPr>
          <w:lang w:val="en-US"/>
        </w:rPr>
        <w:t xml:space="preserve"> from Metrohm takes a closer look at the chemistry behind the biogas production process and how to determine the FOS/TAC ratio applying a simple titration method. </w:t>
      </w:r>
    </w:p>
    <w:tbl>
      <w:tblPr>
        <w:tblStyle w:val="Tabellenraster"/>
        <w:tblW w:w="0" w:type="auto"/>
        <w:tblCellMar>
          <w:left w:w="0" w:type="dxa"/>
          <w:bottom w:w="57" w:type="dxa"/>
          <w:right w:w="227" w:type="dxa"/>
        </w:tblCellMar>
        <w:tblLook w:val="04A0" w:firstRow="1" w:lastRow="0" w:firstColumn="1" w:lastColumn="0" w:noHBand="0" w:noVBand="1"/>
      </w:tblPr>
      <w:tblGrid>
        <w:gridCol w:w="4837"/>
        <w:gridCol w:w="5027"/>
      </w:tblGrid>
      <w:tr w:rsidR="006140C9" w:rsidRPr="003B742A" w:rsidTr="00823309">
        <w:tc>
          <w:tcPr>
            <w:tcW w:w="4927" w:type="dxa"/>
            <w:tcBorders>
              <w:top w:val="nil"/>
              <w:left w:val="nil"/>
              <w:bottom w:val="nil"/>
              <w:right w:val="nil"/>
            </w:tcBorders>
          </w:tcPr>
          <w:bookmarkEnd w:id="2"/>
          <w:p w:rsidR="00D95E60" w:rsidRDefault="009B201E" w:rsidP="00D95E60">
            <w:pPr>
              <w:rPr>
                <w:rFonts w:cs="Myriad Pro"/>
                <w:color w:val="4C4C4E"/>
                <w:szCs w:val="20"/>
                <w:lang w:val="en-US"/>
              </w:rPr>
            </w:pPr>
            <w:r>
              <w:rPr>
                <w:rFonts w:cs="Myriad Pro"/>
                <w:color w:val="4C4C4E"/>
                <w:szCs w:val="20"/>
                <w:lang w:val="en-US"/>
              </w:rPr>
              <w:t>M</w:t>
            </w:r>
            <w:r w:rsidRPr="000B5E78">
              <w:rPr>
                <w:rFonts w:cs="Myriad Pro"/>
                <w:color w:val="4C4C4E"/>
                <w:szCs w:val="20"/>
                <w:lang w:val="en-US"/>
              </w:rPr>
              <w:t xml:space="preserve">ethane is produced </w:t>
            </w:r>
            <w:r>
              <w:rPr>
                <w:rFonts w:cs="Myriad Pro"/>
                <w:color w:val="4C4C4E"/>
                <w:szCs w:val="20"/>
                <w:lang w:val="en-US"/>
              </w:rPr>
              <w:t xml:space="preserve">in biogas reactors </w:t>
            </w:r>
            <w:r w:rsidR="003B742A">
              <w:rPr>
                <w:rFonts w:cs="Myriad Pro"/>
                <w:color w:val="4C4C4E"/>
                <w:szCs w:val="20"/>
                <w:lang w:val="en-US"/>
              </w:rPr>
              <w:t xml:space="preserve">under anaerobic (oxygen </w:t>
            </w:r>
            <w:r w:rsidRPr="000B5E78">
              <w:rPr>
                <w:rFonts w:cs="Myriad Pro"/>
                <w:color w:val="4C4C4E"/>
                <w:szCs w:val="20"/>
                <w:lang w:val="en-US"/>
              </w:rPr>
              <w:t>free) conditions.</w:t>
            </w:r>
            <w:r>
              <w:rPr>
                <w:rFonts w:cs="Myriad Pro"/>
                <w:color w:val="4C4C4E"/>
                <w:szCs w:val="20"/>
                <w:lang w:val="en-US"/>
              </w:rPr>
              <w:t xml:space="preserve"> </w:t>
            </w:r>
            <w:r w:rsidR="00D95E60" w:rsidRPr="000B5E78">
              <w:rPr>
                <w:rFonts w:cs="Myriad Pro"/>
                <w:color w:val="4C4C4E"/>
                <w:szCs w:val="20"/>
                <w:lang w:val="en-US"/>
              </w:rPr>
              <w:t xml:space="preserve">The aim </w:t>
            </w:r>
            <w:r>
              <w:rPr>
                <w:rFonts w:cs="Myriad Pro"/>
                <w:color w:val="4C4C4E"/>
                <w:szCs w:val="20"/>
                <w:lang w:val="en-US"/>
              </w:rPr>
              <w:t xml:space="preserve">of </w:t>
            </w:r>
            <w:r w:rsidR="00D95E60" w:rsidRPr="000B5E78">
              <w:rPr>
                <w:rFonts w:cs="Myriad Pro"/>
                <w:color w:val="4C4C4E"/>
                <w:szCs w:val="20"/>
                <w:lang w:val="en-US"/>
              </w:rPr>
              <w:t>production is to produce meth</w:t>
            </w:r>
            <w:r w:rsidR="00D95E60" w:rsidRPr="000B5E78">
              <w:rPr>
                <w:rFonts w:cs="Myriad Pro"/>
                <w:color w:val="4C4C4E"/>
                <w:szCs w:val="20"/>
                <w:lang w:val="en-US"/>
              </w:rPr>
              <w:softHyphen/>
              <w:t xml:space="preserve">ane with a volume concentration of at least 50%. </w:t>
            </w:r>
            <w:r w:rsidR="00D95E60">
              <w:rPr>
                <w:rFonts w:cs="Myriad Pro"/>
                <w:color w:val="4C4C4E"/>
                <w:szCs w:val="20"/>
                <w:lang w:val="en-US"/>
              </w:rPr>
              <w:t>The present white paper puts a focus on the following topics:</w:t>
            </w:r>
          </w:p>
          <w:p w:rsidR="00D95E60" w:rsidRDefault="00D95E60" w:rsidP="00D95E60">
            <w:pPr>
              <w:rPr>
                <w:lang w:val="en-US"/>
              </w:rPr>
            </w:pPr>
          </w:p>
          <w:p w:rsidR="00D95E60" w:rsidRPr="00551019" w:rsidRDefault="00D95E60" w:rsidP="00D95E60">
            <w:pPr>
              <w:pStyle w:val="Listenabsatz"/>
              <w:rPr>
                <w:lang w:val="en-US"/>
              </w:rPr>
            </w:pPr>
            <w:r w:rsidRPr="00551019">
              <w:rPr>
                <w:lang w:val="en-US"/>
              </w:rPr>
              <w:t xml:space="preserve">The </w:t>
            </w:r>
            <w:r>
              <w:rPr>
                <w:lang w:val="en-US"/>
              </w:rPr>
              <w:t xml:space="preserve">four steps of the biogas production and the </w:t>
            </w:r>
            <w:r w:rsidRPr="00551019">
              <w:rPr>
                <w:lang w:val="en-US"/>
              </w:rPr>
              <w:t>chemistry of the fermentation process</w:t>
            </w:r>
          </w:p>
          <w:p w:rsidR="00D95E60" w:rsidRDefault="00D95E60" w:rsidP="00D95E60">
            <w:pPr>
              <w:pStyle w:val="Listenabsatz"/>
              <w:rPr>
                <w:lang w:val="en-US"/>
              </w:rPr>
            </w:pPr>
            <w:r>
              <w:rPr>
                <w:lang w:val="en-US"/>
              </w:rPr>
              <w:t>Destabilization/disruption of the fermentation process: possible root causes</w:t>
            </w:r>
          </w:p>
          <w:p w:rsidR="00D95E60" w:rsidRDefault="00D95E60" w:rsidP="00D95E60">
            <w:pPr>
              <w:pStyle w:val="Listenabsatz"/>
              <w:rPr>
                <w:lang w:val="en-US"/>
              </w:rPr>
            </w:pPr>
            <w:r>
              <w:rPr>
                <w:lang w:val="en-US"/>
              </w:rPr>
              <w:t xml:space="preserve">The FOS/TAC value: what it is, why it is used as an early indicator (process monitoring), and how to interpret results </w:t>
            </w:r>
          </w:p>
          <w:p w:rsidR="00D95E60" w:rsidRDefault="00D95E60" w:rsidP="00D95E60">
            <w:pPr>
              <w:pStyle w:val="Listenabsatz"/>
              <w:rPr>
                <w:lang w:val="en-US"/>
              </w:rPr>
            </w:pPr>
            <w:r>
              <w:rPr>
                <w:lang w:val="en-US"/>
              </w:rPr>
              <w:t>How to determine the FOS/TAC ratio applying a simple titration</w:t>
            </w:r>
          </w:p>
          <w:p w:rsidR="00D95E60" w:rsidRPr="00551019" w:rsidRDefault="00D95E60" w:rsidP="00D95E60">
            <w:pPr>
              <w:pStyle w:val="Listenabsatz"/>
              <w:rPr>
                <w:lang w:val="en-US"/>
              </w:rPr>
            </w:pPr>
            <w:r>
              <w:rPr>
                <w:lang w:val="en-US"/>
              </w:rPr>
              <w:t>Further reading</w:t>
            </w:r>
          </w:p>
          <w:p w:rsidR="006140C9" w:rsidRPr="00113641" w:rsidRDefault="006140C9" w:rsidP="00AD5FCA">
            <w:pPr>
              <w:rPr>
                <w:lang w:val="en-US"/>
              </w:rPr>
            </w:pPr>
          </w:p>
        </w:tc>
        <w:tc>
          <w:tcPr>
            <w:tcW w:w="4927" w:type="dxa"/>
            <w:tcBorders>
              <w:top w:val="nil"/>
              <w:left w:val="nil"/>
              <w:bottom w:val="nil"/>
              <w:right w:val="nil"/>
            </w:tcBorders>
            <w:tcMar>
              <w:left w:w="227" w:type="dxa"/>
              <w:right w:w="0" w:type="dxa"/>
            </w:tcMar>
          </w:tcPr>
          <w:p w:rsidR="006140C9" w:rsidRPr="00160A8A" w:rsidRDefault="00823309" w:rsidP="00782829">
            <w:pPr>
              <w:pStyle w:val="METBildunterschrift"/>
              <w:rPr>
                <w:b/>
                <w:lang w:val="en-US"/>
              </w:rPr>
            </w:pPr>
            <w:r>
              <w:rPr>
                <w:noProof/>
                <w:sz w:val="22"/>
                <w:lang w:val="de-CH" w:eastAsia="de-CH"/>
              </w:rPr>
              <w:drawing>
                <wp:anchor distT="0" distB="0" distL="114300" distR="114300" simplePos="0" relativeHeight="251659264" behindDoc="0" locked="0" layoutInCell="1" allowOverlap="1" wp14:anchorId="648E0358" wp14:editId="2204EB73">
                  <wp:simplePos x="0" y="0"/>
                  <wp:positionH relativeFrom="column">
                    <wp:posOffset>-6350</wp:posOffset>
                  </wp:positionH>
                  <wp:positionV relativeFrom="paragraph">
                    <wp:posOffset>133350</wp:posOffset>
                  </wp:positionV>
                  <wp:extent cx="3048000" cy="2032000"/>
                  <wp:effectExtent l="0" t="0" r="0" b="6350"/>
                  <wp:wrapThrough wrapText="bothSides">
                    <wp:wrapPolygon edited="0">
                      <wp:start x="0" y="0"/>
                      <wp:lineTo x="0" y="21465"/>
                      <wp:lineTo x="21465" y="21465"/>
                      <wp:lineTo x="21465"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lec"/>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048000" cy="203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5E60">
              <w:rPr>
                <w:lang w:val="en-US"/>
              </w:rPr>
              <w:t>Eco Titrator from Metrohm: avail</w:t>
            </w:r>
            <w:r w:rsidR="003B742A">
              <w:rPr>
                <w:lang w:val="en-US"/>
              </w:rPr>
              <w:t xml:space="preserve">able complete with all required </w:t>
            </w:r>
            <w:r w:rsidR="00D95E60">
              <w:rPr>
                <w:lang w:val="en-US"/>
              </w:rPr>
              <w:t>accessories for the s</w:t>
            </w:r>
            <w:r w:rsidR="003B742A">
              <w:rPr>
                <w:lang w:val="en-US"/>
              </w:rPr>
              <w:t xml:space="preserve">traightforward analysis of the </w:t>
            </w:r>
            <w:r w:rsidR="00D95E60">
              <w:rPr>
                <w:lang w:val="en-US"/>
              </w:rPr>
              <w:t>FOS/TAC ratio</w:t>
            </w:r>
          </w:p>
        </w:tc>
      </w:tr>
    </w:tbl>
    <w:p w:rsidR="004B2D77" w:rsidRDefault="004B2D77" w:rsidP="00287C4C">
      <w:pPr>
        <w:rPr>
          <w:lang w:val="en-US"/>
        </w:rPr>
      </w:pPr>
      <w:bookmarkStart w:id="3" w:name="_Hlk25927200"/>
    </w:p>
    <w:bookmarkEnd w:id="3"/>
    <w:p w:rsidR="000B40D2" w:rsidRPr="00060CFD" w:rsidRDefault="000B40D2" w:rsidP="000B40D2">
      <w:pPr>
        <w:rPr>
          <w:lang w:val="en-US"/>
        </w:rPr>
      </w:pPr>
    </w:p>
    <w:p w:rsidR="00823309" w:rsidRPr="00060CFD" w:rsidRDefault="00823309" w:rsidP="000B40D2">
      <w:pPr>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rsidTr="00301817">
        <w:tc>
          <w:tcPr>
            <w:tcW w:w="1253" w:type="dxa"/>
          </w:tcPr>
          <w:p w:rsidR="000B40D2" w:rsidRPr="00EA1800" w:rsidRDefault="000B40D2" w:rsidP="00EA1800">
            <w:pPr>
              <w:pStyle w:val="METHervorhebung"/>
              <w:rPr>
                <w:rStyle w:val="Fett"/>
                <w:b/>
              </w:rPr>
            </w:pPr>
            <w:r w:rsidRPr="00EA1800">
              <w:rPr>
                <w:rStyle w:val="Fett"/>
                <w:b/>
              </w:rPr>
              <w:t xml:space="preserve">Weblink: </w:t>
            </w:r>
          </w:p>
        </w:tc>
        <w:tc>
          <w:tcPr>
            <w:tcW w:w="7647" w:type="dxa"/>
          </w:tcPr>
          <w:p w:rsidR="000B40D2" w:rsidRDefault="000B40D2" w:rsidP="00301817">
            <w:pPr>
              <w:rPr>
                <w:rStyle w:val="Fett"/>
              </w:rPr>
            </w:pPr>
            <w:r w:rsidRPr="003B501D">
              <w:rPr>
                <w:lang w:val="en-US"/>
              </w:rPr>
              <w:t>news.metrohm.com</w:t>
            </w:r>
          </w:p>
        </w:tc>
      </w:tr>
      <w:tr w:rsidR="000B40D2" w:rsidRPr="006356D0" w:rsidTr="00301817">
        <w:tc>
          <w:tcPr>
            <w:tcW w:w="1253" w:type="dxa"/>
          </w:tcPr>
          <w:p w:rsidR="000B40D2" w:rsidRPr="00EA1800" w:rsidRDefault="000B40D2" w:rsidP="00EA1800">
            <w:pPr>
              <w:pStyle w:val="METHervorhebung"/>
              <w:rPr>
                <w:rStyle w:val="Fett"/>
                <w:b/>
              </w:rPr>
            </w:pPr>
            <w:r w:rsidRPr="00EA1800">
              <w:rPr>
                <w:rStyle w:val="Fett"/>
                <w:b/>
              </w:rPr>
              <w:t>Keywords:</w:t>
            </w:r>
          </w:p>
        </w:tc>
        <w:tc>
          <w:tcPr>
            <w:tcW w:w="7647" w:type="dxa"/>
          </w:tcPr>
          <w:p w:rsidR="000B40D2" w:rsidRPr="003B501D" w:rsidRDefault="00D95E60" w:rsidP="00301817">
            <w:pPr>
              <w:rPr>
                <w:lang w:val="en-US"/>
              </w:rPr>
            </w:pPr>
            <w:r>
              <w:rPr>
                <w:lang w:val="en-US"/>
              </w:rPr>
              <w:t>FOS/TAC, methane, biogas</w:t>
            </w:r>
          </w:p>
        </w:tc>
      </w:tr>
      <w:tr w:rsidR="000B40D2" w:rsidRPr="006356D0" w:rsidTr="00301817">
        <w:tc>
          <w:tcPr>
            <w:tcW w:w="1253" w:type="dxa"/>
          </w:tcPr>
          <w:p w:rsidR="000B40D2" w:rsidRPr="00EA1800" w:rsidRDefault="000B40D2" w:rsidP="00EA1800">
            <w:pPr>
              <w:pStyle w:val="METHervorhebung"/>
              <w:rPr>
                <w:rStyle w:val="Fett"/>
                <w:b/>
              </w:rPr>
            </w:pPr>
            <w:r w:rsidRPr="00EA1800">
              <w:rPr>
                <w:rStyle w:val="Fett"/>
                <w:b/>
              </w:rPr>
              <w:t>Branches:</w:t>
            </w:r>
          </w:p>
        </w:tc>
        <w:tc>
          <w:tcPr>
            <w:tcW w:w="7647" w:type="dxa"/>
          </w:tcPr>
          <w:p w:rsidR="000B40D2" w:rsidRPr="003B501D" w:rsidRDefault="00D95E60" w:rsidP="00301817">
            <w:pPr>
              <w:rPr>
                <w:lang w:val="en-US"/>
              </w:rPr>
            </w:pPr>
            <w:r>
              <w:rPr>
                <w:lang w:val="en-GB"/>
              </w:rPr>
              <w:t>Biogas production</w:t>
            </w:r>
          </w:p>
        </w:tc>
      </w:tr>
      <w:tr w:rsidR="000B40D2" w:rsidTr="00301817">
        <w:tc>
          <w:tcPr>
            <w:tcW w:w="1253" w:type="dxa"/>
          </w:tcPr>
          <w:p w:rsidR="000B40D2" w:rsidRPr="00EA1800" w:rsidRDefault="000B40D2" w:rsidP="00EA1800">
            <w:pPr>
              <w:pStyle w:val="METHervorhebung"/>
              <w:rPr>
                <w:rStyle w:val="Fett"/>
                <w:b/>
              </w:rPr>
            </w:pPr>
            <w:r w:rsidRPr="00EA1800">
              <w:rPr>
                <w:rStyle w:val="Fett"/>
                <w:b/>
              </w:rPr>
              <w:t>Image:</w:t>
            </w:r>
          </w:p>
        </w:tc>
        <w:tc>
          <w:tcPr>
            <w:tcW w:w="7647" w:type="dxa"/>
          </w:tcPr>
          <w:p w:rsidR="000B40D2" w:rsidRDefault="000B40D2" w:rsidP="00301817">
            <w:pPr>
              <w:rPr>
                <w:lang w:val="en-GB"/>
              </w:rPr>
            </w:pPr>
          </w:p>
        </w:tc>
      </w:tr>
    </w:tbl>
    <w:p w:rsidR="00045674" w:rsidRDefault="00045674" w:rsidP="00EA1800">
      <w:pPr>
        <w:pStyle w:val="METHervorhebung"/>
      </w:pPr>
    </w:p>
    <w:p w:rsidR="005A61D6" w:rsidRDefault="005A61D6" w:rsidP="00045674"/>
    <w:p w:rsidR="005A61D6" w:rsidRDefault="005A61D6" w:rsidP="00045674"/>
    <w:p w:rsidR="005A61D6" w:rsidRDefault="005A61D6" w:rsidP="00045674"/>
    <w:p w:rsidR="005A61D6" w:rsidRDefault="005A61D6" w:rsidP="00C21696">
      <w:pPr>
        <w:pStyle w:val="METBildunterschrift"/>
        <w:rPr>
          <w:lang w:val="en-US"/>
        </w:rPr>
      </w:pPr>
      <w:r w:rsidRPr="00160A8A">
        <w:rPr>
          <w:rStyle w:val="METBildunterschriftfett"/>
          <w:lang w:val="en-US"/>
        </w:rPr>
        <w:t>About Metrohm</w:t>
      </w:r>
      <w:r w:rsidRPr="00160A8A">
        <w:rPr>
          <w:rStyle w:val="METBildunterschriftfett"/>
          <w:lang w:val="en-US"/>
        </w:rPr>
        <w:br/>
      </w:r>
      <w:r w:rsidR="00C21696" w:rsidRPr="00C21696">
        <w:rPr>
          <w:lang w:val="en-US"/>
        </w:rPr>
        <w:t>Metrohm is one of the world’s most trusted manufacturers of high-precision instruments for laboratory and process analysis. The company was founded in 1943 by engineer Bertold Suhner in Herisau, Switzerland, where it is headquartered to this day. Metrohm offers a compre</w:t>
      </w:r>
      <w:r w:rsidR="00C21696">
        <w:rPr>
          <w:lang w:val="en-US"/>
        </w:rPr>
        <w:t>-</w:t>
      </w:r>
      <w:r w:rsidR="00C21696" w:rsidRPr="00C21696">
        <w:rPr>
          <w:lang w:val="en-US"/>
        </w:rPr>
        <w:t xml:space="preserve">hensive portfolio of analytical technologies ranging from titration and ion chromatography to near-infrared and Raman spectroscopy, </w:t>
      </w:r>
      <w:r w:rsidR="00160A8A">
        <w:rPr>
          <w:lang w:val="en-US"/>
        </w:rPr>
        <w:t>as well as several other techniques</w:t>
      </w:r>
      <w:r w:rsidR="00C21696" w:rsidRPr="00C21696">
        <w:rPr>
          <w:lang w:val="en-US"/>
        </w:rPr>
        <w:t>. Metrohm sells its products and provides services through its own local subsidiaries and exclusive distribu</w:t>
      </w:r>
      <w:r w:rsidR="00C21696">
        <w:rPr>
          <w:lang w:val="en-US"/>
        </w:rPr>
        <w:t>-</w:t>
      </w:r>
      <w:r w:rsidR="00C21696" w:rsidRPr="00C21696">
        <w:rPr>
          <w:lang w:val="en-US"/>
        </w:rPr>
        <w:lastRenderedPageBreak/>
        <w:t xml:space="preserve">tors in more than 120 countries worldwide. </w:t>
      </w:r>
      <w:r w:rsidR="00160A8A">
        <w:rPr>
          <w:lang w:val="en-US"/>
        </w:rPr>
        <w:t>Our</w:t>
      </w:r>
      <w:r w:rsidR="00C21696" w:rsidRPr="00C21696">
        <w:rPr>
          <w:lang w:val="en-US"/>
        </w:rPr>
        <w:t xml:space="preserve"> mission in a nutshell is helping customers from virtually every industry analyze and maintain the quality of their products at every stage in the manufacturing process and beyond. Since 1982, Metrohm has been owned 100% by the non-profit Metrohm Foundation</w:t>
      </w:r>
      <w:r w:rsidR="00160A8A">
        <w:rPr>
          <w:lang w:val="en-US"/>
        </w:rPr>
        <w:t>.</w:t>
      </w:r>
      <w:r w:rsidR="00C21696" w:rsidRPr="00C21696">
        <w:rPr>
          <w:lang w:val="en-US"/>
        </w:rPr>
        <w:t xml:space="preserve"> </w:t>
      </w:r>
      <w:r w:rsidR="00160A8A">
        <w:rPr>
          <w:lang w:val="en-US"/>
        </w:rPr>
        <w:t>This foundation</w:t>
      </w:r>
      <w:r w:rsidR="00C21696" w:rsidRPr="00C21696">
        <w:rPr>
          <w:lang w:val="en-US"/>
        </w:rPr>
        <w:t xml:space="preserve"> keeps to its purpose to support charitable, philanthropic, and cultural projects in </w:t>
      </w:r>
      <w:r w:rsidR="00160A8A">
        <w:rPr>
          <w:lang w:val="en-US"/>
        </w:rPr>
        <w:t>eastern</w:t>
      </w:r>
      <w:r w:rsidR="00C21696" w:rsidRPr="00C21696">
        <w:rPr>
          <w:lang w:val="en-US"/>
        </w:rPr>
        <w:t xml:space="preserve"> Switzerland and, above all, ensure the independence of the company.</w:t>
      </w:r>
    </w:p>
    <w:p w:rsidR="00EA1800" w:rsidRPr="00160A8A" w:rsidRDefault="00EA1800" w:rsidP="005A61D6">
      <w:pPr>
        <w:rPr>
          <w:rStyle w:val="Fett"/>
          <w:lang w:val="en-US"/>
        </w:rPr>
      </w:pPr>
    </w:p>
    <w:p w:rsidR="005A61D6" w:rsidRPr="00EA1800" w:rsidRDefault="00EA1800" w:rsidP="00EA1800">
      <w:pPr>
        <w:pStyle w:val="METBildunterschrift"/>
        <w:rPr>
          <w:rStyle w:val="METBildunterschriftfett"/>
        </w:rPr>
      </w:pPr>
      <w:r>
        <w:rPr>
          <w:rStyle w:val="METBildunterschriftfett"/>
        </w:rPr>
        <w:t>Contact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rsidTr="00EA1800">
        <w:tc>
          <w:tcPr>
            <w:tcW w:w="4927" w:type="dxa"/>
          </w:tcPr>
          <w:p w:rsidR="00C21696" w:rsidRDefault="00C21696" w:rsidP="00C21696">
            <w:pPr>
              <w:pStyle w:val="METHervorhebung"/>
            </w:pPr>
            <w:r>
              <w:t>Roman Moser</w:t>
            </w:r>
          </w:p>
          <w:p w:rsidR="00C21696" w:rsidRPr="008145F2" w:rsidRDefault="00C21696" w:rsidP="00C21696">
            <w:r>
              <w:t>Marketing Communication</w:t>
            </w:r>
            <w:r w:rsidRPr="00D764A7">
              <w:t xml:space="preserve"> </w:t>
            </w:r>
            <w:r w:rsidRPr="00D764A7">
              <w:br/>
            </w:r>
            <w:r>
              <w:t>Metrohm AG Herisau</w:t>
            </w:r>
          </w:p>
          <w:p w:rsidR="005A61D6" w:rsidRDefault="00C21696" w:rsidP="00C21696">
            <w:pPr>
              <w:rPr>
                <w:rStyle w:val="METBildunterschriftfett"/>
              </w:rPr>
            </w:pPr>
            <w:r>
              <w:t>+</w:t>
            </w:r>
            <w:r w:rsidRPr="005A61D6">
              <w:t xml:space="preserve">41 </w:t>
            </w:r>
            <w:r w:rsidRPr="00C21696">
              <w:t>71 353 86 68</w:t>
            </w:r>
            <w:r w:rsidRPr="00871B32">
              <w:rPr>
                <w:szCs w:val="20"/>
              </w:rPr>
              <w:br/>
            </w:r>
            <w:hyperlink r:id="rId9" w:history="1">
              <w:r w:rsidRPr="00A2605D">
                <w:rPr>
                  <w:rStyle w:val="Hyperlink"/>
                </w:rPr>
                <w:t>roman.moser@metrohm.com</w:t>
              </w:r>
            </w:hyperlink>
          </w:p>
        </w:tc>
        <w:tc>
          <w:tcPr>
            <w:tcW w:w="4927" w:type="dxa"/>
          </w:tcPr>
          <w:p w:rsidR="005A61D6" w:rsidRDefault="005A61D6" w:rsidP="005A61D6">
            <w:pPr>
              <w:rPr>
                <w:rStyle w:val="METBildunterschriftfett"/>
              </w:rPr>
            </w:pPr>
          </w:p>
        </w:tc>
      </w:tr>
    </w:tbl>
    <w:p w:rsidR="00EA1800" w:rsidRDefault="00EA1800" w:rsidP="00A13959">
      <w:pPr>
        <w:spacing w:line="240" w:lineRule="auto"/>
      </w:pPr>
    </w:p>
    <w:p w:rsidR="00A13959" w:rsidRPr="005E4E62" w:rsidRDefault="00A13959" w:rsidP="00A13959">
      <w:pPr>
        <w:spacing w:line="240" w:lineRule="auto"/>
        <w:rPr>
          <w:rFonts w:ascii="Calibri" w:hAnsi="Calibri"/>
        </w:rPr>
      </w:pPr>
      <w:r>
        <w:rPr>
          <w:noProof/>
          <w:lang w:val="de-CH" w:eastAsia="de-CH"/>
        </w:rPr>
        <w:drawing>
          <wp:inline distT="0" distB="0" distL="0" distR="0" wp14:anchorId="65ADB424" wp14:editId="7CD58A95">
            <wp:extent cx="246960" cy="252000"/>
            <wp:effectExtent l="0" t="0" r="1270" b="0"/>
            <wp:docPr id="47" name="Grafik 4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0"/>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3"/>
                        </a:ext>
                      </a:extLst>
                    </a:blip>
                    <a:stretch>
                      <a:fillRect/>
                    </a:stretch>
                  </pic:blipFill>
                  <pic:spPr>
                    <a:xfrm>
                      <a:off x="0" y="0"/>
                      <a:ext cx="246960" cy="252000"/>
                    </a:xfrm>
                    <a:prstGeom prst="rect">
                      <a:avLst/>
                    </a:prstGeom>
                  </pic:spPr>
                </pic:pic>
              </a:graphicData>
            </a:graphic>
          </wp:inline>
        </w:drawing>
      </w:r>
      <w:r>
        <w:t xml:space="preserve">    </w:t>
      </w:r>
      <w:hyperlink r:id="rId14" w:history="1"/>
      <w:r w:rsidRPr="00E37AF3">
        <w:rPr>
          <w:rFonts w:ascii="Calibri" w:hAnsi="Calibri"/>
          <w:noProof/>
          <w:lang w:val="de-CH" w:eastAsia="de-CH"/>
        </w:rPr>
        <w:drawing>
          <wp:inline distT="0" distB="0" distL="0" distR="0" wp14:anchorId="062B18F6" wp14:editId="7BE92037">
            <wp:extent cx="252000" cy="252000"/>
            <wp:effectExtent l="0" t="0" r="0" b="0"/>
            <wp:docPr id="10" name="Grafik 10">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7"/>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r w:rsidRPr="00E37AF3">
        <w:rPr>
          <w:noProof/>
          <w:lang w:val="de-CH" w:eastAsia="de-CH"/>
        </w:rPr>
        <w:drawing>
          <wp:inline distT="0" distB="0" distL="0" distR="0" wp14:anchorId="413EBFAF" wp14:editId="5F2B0882">
            <wp:extent cx="257039" cy="252000"/>
            <wp:effectExtent l="0" t="0" r="0" b="0"/>
            <wp:docPr id="25" name="Grafik 2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0"/>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val="de-CH" w:eastAsia="de-CH"/>
        </w:rPr>
        <w:drawing>
          <wp:inline distT="0" distB="0" distL="0" distR="0" wp14:anchorId="55CEB681" wp14:editId="400F21EC">
            <wp:extent cx="231840" cy="252000"/>
            <wp:effectExtent l="0" t="0" r="0" b="0"/>
            <wp:docPr id="26" name="Grafik 2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3"/>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p>
    <w:p w:rsidR="005A61D6" w:rsidRDefault="005A61D6" w:rsidP="005A61D6">
      <w:pPr>
        <w:rPr>
          <w:rStyle w:val="METBildunterschriftfett"/>
        </w:rPr>
      </w:pPr>
    </w:p>
    <w:p w:rsidR="00D24E0B" w:rsidRDefault="00D24E0B" w:rsidP="005A61D6">
      <w:pPr>
        <w:rPr>
          <w:rStyle w:val="METBildunterschriftfett"/>
        </w:rPr>
      </w:pPr>
    </w:p>
    <w:p w:rsidR="00D24E0B" w:rsidRDefault="00D24E0B" w:rsidP="005A61D6">
      <w:pPr>
        <w:rPr>
          <w:rStyle w:val="METBildunterschriftfett"/>
        </w:rPr>
      </w:pPr>
    </w:p>
    <w:p w:rsidR="00D24E0B" w:rsidRPr="005A61D6" w:rsidRDefault="00D24E0B" w:rsidP="005A61D6">
      <w:pPr>
        <w:rPr>
          <w:rStyle w:val="METBildunterschriftfett"/>
        </w:rPr>
      </w:pPr>
    </w:p>
    <w:sectPr w:rsidR="00D24E0B" w:rsidRPr="005A61D6" w:rsidSect="00045674">
      <w:headerReference w:type="default" r:id="rId24"/>
      <w:footerReference w:type="default" r:id="rId25"/>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829" w:rsidRDefault="00782829" w:rsidP="00810CAB">
      <w:pPr>
        <w:spacing w:line="240" w:lineRule="auto"/>
      </w:pPr>
      <w:r>
        <w:separator/>
      </w:r>
    </w:p>
  </w:endnote>
  <w:endnote w:type="continuationSeparator" w:id="0">
    <w:p w:rsidR="00782829" w:rsidRDefault="00782829" w:rsidP="00810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e Frutiger World Light">
    <w:panose1 w:val="020B0403040304020203"/>
    <w:charset w:val="00"/>
    <w:family w:val="swiss"/>
    <w:pitch w:val="variable"/>
    <w:sig w:usb0="A5002EEF" w:usb1="C0000023" w:usb2="00000008" w:usb3="00000000" w:csb0="000101FF" w:csb1="00000000"/>
  </w:font>
  <w:font w:name="Neue Frutiger World">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0D2" w:rsidRDefault="000B40D2" w:rsidP="000B40D2">
    <w:pPr>
      <w:pStyle w:val="Fuzeile"/>
    </w:pPr>
  </w:p>
  <w:p w:rsidR="000B40D2" w:rsidRDefault="000B40D2" w:rsidP="000B40D2">
    <w:pPr>
      <w:pStyle w:val="Fuzeile"/>
    </w:pPr>
  </w:p>
  <w:p w:rsidR="000B40D2" w:rsidRDefault="00FF1999" w:rsidP="000B40D2">
    <w:pPr>
      <w:pStyle w:val="Fuzeile"/>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Pr>
            <w:noProof/>
          </w:rPr>
          <w:t>1</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Pr>
            <w:noProof/>
          </w:rPr>
          <w:t>2</w:t>
        </w:r>
        <w:r w:rsidR="000B40D2" w:rsidRPr="00560EE9">
          <w:fldChar w:fldCharType="end"/>
        </w:r>
        <w:r w:rsidR="000B40D2">
          <w:rPr>
            <w:noProof/>
            <w:lang w:val="de-CH" w:eastAsia="de-CH"/>
          </w:rPr>
          <w:drawing>
            <wp:anchor distT="0" distB="0" distL="114300" distR="114300" simplePos="0" relativeHeight="251659264" behindDoc="1" locked="1" layoutInCell="1" allowOverlap="1" wp14:anchorId="40D7548C" wp14:editId="1FD349DD">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829" w:rsidRDefault="00782829" w:rsidP="00810CAB">
      <w:pPr>
        <w:spacing w:line="240" w:lineRule="auto"/>
      </w:pPr>
      <w:r>
        <w:separator/>
      </w:r>
    </w:p>
  </w:footnote>
  <w:footnote w:type="continuationSeparator" w:id="0">
    <w:p w:rsidR="00782829" w:rsidRDefault="00782829" w:rsidP="00810C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CAB" w:rsidRPr="00C21696" w:rsidRDefault="00810CAB" w:rsidP="00122020">
    <w:pPr>
      <w:pStyle w:val="METKopfzeilePR"/>
      <w:rPr>
        <w:bCs/>
        <w:color w:val="008F8B" w:themeColor="accent1"/>
      </w:rPr>
    </w:pPr>
    <w:bookmarkStart w:id="4" w:name="_Hlk25926042"/>
    <w:bookmarkStart w:id="5" w:name="_Hlk25926043"/>
    <w:bookmarkStart w:id="6" w:name="_Hlk25926045"/>
    <w:bookmarkStart w:id="7" w:name="_Hlk25926046"/>
    <w:bookmarkStart w:id="8" w:name="_Hlk25926047"/>
    <w:bookmarkStart w:id="9" w:name="_Hlk25926048"/>
    <w:bookmarkStart w:id="10" w:name="_Hlk25926049"/>
    <w:bookmarkStart w:id="11" w:name="_Hlk25926050"/>
    <w:bookmarkStart w:id="12" w:name="_Hlk25926051"/>
    <w:bookmarkStart w:id="13" w:name="_Hlk25926052"/>
    <w:bookmarkStart w:id="14" w:name="_Hlk25926053"/>
    <w:bookmarkStart w:id="15" w:name="_Hlk25926054"/>
    <w:bookmarkStart w:id="16" w:name="_Hlk25926055"/>
    <w:bookmarkStart w:id="17" w:name="_Hlk25926056"/>
    <w:bookmarkStart w:id="18" w:name="_Hlk25926057"/>
    <w:bookmarkStart w:id="19" w:name="_Hlk25926058"/>
    <w:r w:rsidRPr="00C21696">
      <w:rPr>
        <w:color w:val="008F8B" w:themeColor="accent1"/>
      </w:rPr>
      <w:t>Press Release for immediate publication</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941F4"/>
    <w:multiLevelType w:val="hybridMultilevel"/>
    <w:tmpl w:val="BAFAB220"/>
    <w:lvl w:ilvl="0" w:tplc="97CACBB4">
      <w:start w:val="1"/>
      <w:numFmt w:val="bullet"/>
      <w:pStyle w:val="Listenabsatz"/>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29"/>
    <w:rsid w:val="00045674"/>
    <w:rsid w:val="00060CFD"/>
    <w:rsid w:val="000908C3"/>
    <w:rsid w:val="000B40D2"/>
    <w:rsid w:val="000C70E0"/>
    <w:rsid w:val="00113641"/>
    <w:rsid w:val="001142CE"/>
    <w:rsid w:val="00122020"/>
    <w:rsid w:val="0014413C"/>
    <w:rsid w:val="00160A8A"/>
    <w:rsid w:val="002343E0"/>
    <w:rsid w:val="00287C4C"/>
    <w:rsid w:val="002F5FA7"/>
    <w:rsid w:val="003B1833"/>
    <w:rsid w:val="003B742A"/>
    <w:rsid w:val="004311DE"/>
    <w:rsid w:val="00472E64"/>
    <w:rsid w:val="00482682"/>
    <w:rsid w:val="004B2D77"/>
    <w:rsid w:val="005A61D6"/>
    <w:rsid w:val="006140C9"/>
    <w:rsid w:val="006356D0"/>
    <w:rsid w:val="006A5B1A"/>
    <w:rsid w:val="00782829"/>
    <w:rsid w:val="007B4ED5"/>
    <w:rsid w:val="007C6A5D"/>
    <w:rsid w:val="007E485B"/>
    <w:rsid w:val="00810CAB"/>
    <w:rsid w:val="00823309"/>
    <w:rsid w:val="00883A34"/>
    <w:rsid w:val="008A7E38"/>
    <w:rsid w:val="008B6F91"/>
    <w:rsid w:val="008D4C87"/>
    <w:rsid w:val="0090399F"/>
    <w:rsid w:val="009074A8"/>
    <w:rsid w:val="00963391"/>
    <w:rsid w:val="00976754"/>
    <w:rsid w:val="009B201E"/>
    <w:rsid w:val="009C0A46"/>
    <w:rsid w:val="00A13959"/>
    <w:rsid w:val="00A57ED4"/>
    <w:rsid w:val="00AD5FCA"/>
    <w:rsid w:val="00B043D7"/>
    <w:rsid w:val="00C21696"/>
    <w:rsid w:val="00D24E0B"/>
    <w:rsid w:val="00D95E60"/>
    <w:rsid w:val="00EA1800"/>
    <w:rsid w:val="00EB756A"/>
    <w:rsid w:val="00F179B5"/>
    <w:rsid w:val="00F64924"/>
    <w:rsid w:val="00FE0425"/>
    <w:rsid w:val="00FF1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966D9C0F-1722-4FAA-A9CA-2DE40CEA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3309"/>
    <w:pPr>
      <w:spacing w:after="0" w:line="280" w:lineRule="exact"/>
    </w:pPr>
    <w:rPr>
      <w:color w:val="49494A" w:themeColor="text1"/>
      <w:sz w:val="20"/>
    </w:rPr>
  </w:style>
  <w:style w:type="paragraph" w:styleId="berschrift1">
    <w:name w:val="heading 1"/>
    <w:basedOn w:val="Standard"/>
    <w:next w:val="Standard"/>
    <w:link w:val="berschrift1Zchn"/>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berschrift2">
    <w:name w:val="heading 2"/>
    <w:basedOn w:val="Standard"/>
    <w:next w:val="Standard"/>
    <w:link w:val="berschrift2Zchn"/>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0C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0CAB"/>
  </w:style>
  <w:style w:type="paragraph" w:styleId="Fuzeile">
    <w:name w:val="footer"/>
    <w:basedOn w:val="Standard"/>
    <w:link w:val="FuzeileZchn"/>
    <w:uiPriority w:val="99"/>
    <w:unhideWhenUsed/>
    <w:rsid w:val="000B40D2"/>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0B40D2"/>
    <w:rPr>
      <w:rFonts w:ascii="Neue Frutiger World" w:hAnsi="Neue Frutiger World"/>
      <w:color w:val="49494A" w:themeColor="text1"/>
      <w:sz w:val="16"/>
    </w:rPr>
  </w:style>
  <w:style w:type="character" w:customStyle="1" w:styleId="berschrift1Zchn">
    <w:name w:val="Überschrift 1 Zchn"/>
    <w:basedOn w:val="Absatz-Standardschriftart"/>
    <w:link w:val="berschrift1"/>
    <w:uiPriority w:val="9"/>
    <w:rsid w:val="00122020"/>
    <w:rPr>
      <w:rFonts w:asciiTheme="majorHAnsi" w:eastAsiaTheme="majorEastAsia" w:hAnsiTheme="majorHAnsi" w:cstheme="majorBidi"/>
      <w:color w:val="49494A" w:themeColor="text1"/>
      <w:sz w:val="48"/>
      <w:szCs w:val="32"/>
    </w:rPr>
  </w:style>
  <w:style w:type="paragraph" w:styleId="KeinLeerraum">
    <w:name w:val="No Spacing"/>
    <w:uiPriority w:val="1"/>
    <w:qFormat/>
    <w:rsid w:val="00810CAB"/>
    <w:pPr>
      <w:spacing w:after="0" w:line="240" w:lineRule="auto"/>
    </w:pPr>
  </w:style>
  <w:style w:type="table" w:styleId="Tabellenraster">
    <w:name w:val="Table Grid"/>
    <w:basedOn w:val="NormaleTabelle"/>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22020"/>
    <w:rPr>
      <w:rFonts w:asciiTheme="majorHAnsi" w:eastAsiaTheme="majorEastAsia" w:hAnsiTheme="majorHAnsi" w:cstheme="majorBidi"/>
      <w:color w:val="49494A" w:themeColor="text1"/>
      <w:sz w:val="36"/>
      <w:szCs w:val="26"/>
    </w:rPr>
  </w:style>
  <w:style w:type="paragraph" w:styleId="Titel">
    <w:name w:val="Title"/>
    <w:basedOn w:val="Standard"/>
    <w:next w:val="Standard"/>
    <w:link w:val="TitelZchn"/>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elZchn">
    <w:name w:val="Titel Zchn"/>
    <w:basedOn w:val="Absatz-Standardschriftart"/>
    <w:link w:val="Titel"/>
    <w:uiPriority w:val="10"/>
    <w:rsid w:val="00B043D7"/>
    <w:rPr>
      <w:rFonts w:asciiTheme="majorHAnsi" w:eastAsiaTheme="majorEastAsia" w:hAnsiTheme="majorHAnsi" w:cstheme="majorBidi"/>
      <w:color w:val="49494A" w:themeColor="text1"/>
      <w:spacing w:val="20"/>
      <w:kern w:val="28"/>
      <w:sz w:val="48"/>
      <w:szCs w:val="56"/>
    </w:rPr>
  </w:style>
  <w:style w:type="character" w:styleId="Fett">
    <w:name w:val="Strong"/>
    <w:basedOn w:val="Absatz-Standardschriftart"/>
    <w:uiPriority w:val="22"/>
    <w:rsid w:val="000B40D2"/>
    <w:rPr>
      <w:rFonts w:ascii="Neue Frutiger World" w:hAnsi="Neue Frutiger World"/>
      <w:b/>
      <w:bCs/>
    </w:rPr>
  </w:style>
  <w:style w:type="paragraph" w:customStyle="1" w:styleId="METTeaser">
    <w:name w:val="MET_Teaser"/>
    <w:basedOn w:val="Standard"/>
    <w:qFormat/>
    <w:rsid w:val="005A61D6"/>
    <w:pPr>
      <w:spacing w:after="400"/>
    </w:pPr>
    <w:rPr>
      <w:rFonts w:ascii="Neue Frutiger World" w:hAnsi="Neue Frutiger World"/>
      <w:b/>
    </w:rPr>
  </w:style>
  <w:style w:type="paragraph" w:styleId="Listenabsatz">
    <w:name w:val="List Paragraph"/>
    <w:basedOn w:val="Standard"/>
    <w:uiPriority w:val="34"/>
    <w:qFormat/>
    <w:rsid w:val="000B40D2"/>
    <w:pPr>
      <w:numPr>
        <w:numId w:val="1"/>
      </w:numPr>
      <w:ind w:left="284" w:hanging="284"/>
      <w:contextualSpacing/>
    </w:pPr>
  </w:style>
  <w:style w:type="paragraph" w:styleId="Sprechblasentext">
    <w:name w:val="Balloon Text"/>
    <w:basedOn w:val="Standard"/>
    <w:link w:val="SprechblasentextZchn"/>
    <w:uiPriority w:val="99"/>
    <w:semiHidden/>
    <w:unhideWhenUsed/>
    <w:rsid w:val="0097675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berschrift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Absatz-Standardschriftart"/>
    <w:qFormat/>
    <w:rsid w:val="00823309"/>
    <w:rPr>
      <w:rFonts w:ascii="Neue Frutiger World" w:hAnsi="Neue Frutiger World"/>
      <w:b/>
      <w:sz w:val="16"/>
    </w:rPr>
  </w:style>
  <w:style w:type="paragraph" w:customStyle="1" w:styleId="METBildunterschrift">
    <w:name w:val="MET_Bildunterschrift"/>
    <w:basedOn w:val="Standard"/>
    <w:qFormat/>
    <w:rsid w:val="00823309"/>
    <w:pPr>
      <w:pBdr>
        <w:top w:val="single" w:sz="4" w:space="1" w:color="49494A" w:themeColor="text1"/>
      </w:pBdr>
      <w:spacing w:line="240" w:lineRule="auto"/>
    </w:pPr>
    <w:rPr>
      <w:sz w:val="16"/>
    </w:rPr>
  </w:style>
  <w:style w:type="character" w:styleId="Hyperlink">
    <w:name w:val="Hyperlink"/>
    <w:basedOn w:val="Absatz-Standardschriftart"/>
    <w:uiPriority w:val="99"/>
    <w:unhideWhenUsed/>
    <w:rsid w:val="005A61D6"/>
    <w:rPr>
      <w:color w:val="49494A" w:themeColor="hyperlink"/>
      <w:u w:val="single"/>
    </w:rPr>
  </w:style>
  <w:style w:type="character" w:customStyle="1" w:styleId="NichtaufgelsteErwhnung1">
    <w:name w:val="Nicht aufgelöste Erwähnung1"/>
    <w:basedOn w:val="Absatz-Standardschriftart"/>
    <w:uiPriority w:val="99"/>
    <w:semiHidden/>
    <w:unhideWhenUsed/>
    <w:rsid w:val="005A61D6"/>
    <w:rPr>
      <w:color w:val="605E5C"/>
      <w:shd w:val="clear" w:color="auto" w:fill="E1DFDD"/>
    </w:rPr>
  </w:style>
  <w:style w:type="paragraph" w:customStyle="1" w:styleId="METHervorhebung">
    <w:name w:val="MET_Hervorhebung"/>
    <w:basedOn w:val="Standard"/>
    <w:qFormat/>
    <w:rsid w:val="00EA1800"/>
    <w:rPr>
      <w:rFonts w:ascii="Neue Frutiger World" w:hAnsi="Neue Frutiger World"/>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svg"/><Relationship Id="rId18" Type="http://schemas.openxmlformats.org/officeDocument/2006/relationships/hyperlink" Target="https://www.youtube.com/user/MetrohmT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inkedin.com/company/metrohmhq/?viewAsMember=true" TargetMode="External"/><Relationship Id="rId7" Type="http://schemas.openxmlformats.org/officeDocument/2006/relationships/endnotes" Target="endnotes.xml"/><Relationship Id="rId17" Type="http://schemas.openxmlformats.org/officeDocument/2006/relationships/image" Target="media/image5.sv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facebook.com/MetrohmGroup/" TargetMode="External"/><Relationship Id="rId23" Type="http://schemas.openxmlformats.org/officeDocument/2006/relationships/image" Target="media/image9.svg"/><Relationship Id="rId10" Type="http://schemas.openxmlformats.org/officeDocument/2006/relationships/hyperlink" Target="http://www.metrohm.com/"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roman.moser@metrohm.com" TargetMode="External"/><Relationship Id="rId14" Type="http://schemas.openxmlformats.org/officeDocument/2006/relationships/hyperlink" Target="https://www.facebook.com/SchaefflerDeutschland" TargetMode="External"/><Relationship Id="rId22" Type="http://schemas.openxmlformats.org/officeDocument/2006/relationships/image" Target="media/image5.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03068-E7D7-4A45-AD7D-2D794D06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2379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Moser, Roman</cp:lastModifiedBy>
  <cp:revision>2</cp:revision>
  <cp:lastPrinted>2019-11-14T14:08:00Z</cp:lastPrinted>
  <dcterms:created xsi:type="dcterms:W3CDTF">2020-05-05T04:14:00Z</dcterms:created>
  <dcterms:modified xsi:type="dcterms:W3CDTF">2020-05-05T04:14:00Z</dcterms:modified>
</cp:coreProperties>
</file>